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3DF" w:rsidRPr="00C23CDA" w:rsidRDefault="004503DF" w:rsidP="004503DF">
      <w:pPr>
        <w:tabs>
          <w:tab w:val="left" w:pos="6660"/>
        </w:tabs>
        <w:spacing w:line="240" w:lineRule="auto"/>
        <w:jc w:val="right"/>
        <w:rPr>
          <w:rFonts w:cs="Arial"/>
          <w:b/>
          <w:bCs/>
        </w:rPr>
      </w:pPr>
      <w:bookmarkStart w:id="0" w:name="_GoBack"/>
      <w:bookmarkEnd w:id="0"/>
      <w:r w:rsidRPr="00C23CDA">
        <w:rPr>
          <w:rFonts w:cs="Arial"/>
          <w:b/>
          <w:bCs/>
        </w:rPr>
        <w:t>V.</w:t>
      </w:r>
    </w:p>
    <w:p w:rsidR="004503DF" w:rsidRPr="00C23CDA" w:rsidRDefault="004503DF" w:rsidP="004503DF">
      <w:pPr>
        <w:tabs>
          <w:tab w:val="left" w:pos="6660"/>
        </w:tabs>
        <w:spacing w:line="240" w:lineRule="auto"/>
        <w:jc w:val="center"/>
        <w:rPr>
          <w:rFonts w:cs="Arial"/>
          <w:b/>
          <w:bCs/>
        </w:rPr>
      </w:pPr>
      <w:r w:rsidRPr="00C23CDA">
        <w:rPr>
          <w:rFonts w:cs="Arial"/>
          <w:b/>
          <w:bCs/>
        </w:rPr>
        <w:t>SHRNUTÍ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4503DF" w:rsidRPr="00C23CDA" w:rsidTr="00395715">
        <w:trPr>
          <w:trHeight w:val="187"/>
          <w:jc w:val="center"/>
        </w:trPr>
        <w:tc>
          <w:tcPr>
            <w:tcW w:w="9648" w:type="dxa"/>
            <w:gridSpan w:val="2"/>
            <w:tcBorders>
              <w:top w:val="single" w:sz="12" w:space="0" w:color="000000"/>
              <w:left w:val="single" w:sz="12" w:space="0" w:color="000000"/>
              <w:bottom w:val="single" w:sz="4" w:space="0" w:color="auto"/>
              <w:right w:val="single" w:sz="12" w:space="0" w:color="000000"/>
            </w:tcBorders>
            <w:shd w:val="clear" w:color="auto" w:fill="C6D9F1"/>
            <w:vAlign w:val="bottom"/>
          </w:tcPr>
          <w:p w:rsidR="004503DF" w:rsidRPr="00C23CDA" w:rsidRDefault="004503DF" w:rsidP="00395715">
            <w:pPr>
              <w:tabs>
                <w:tab w:val="left" w:pos="6660"/>
              </w:tabs>
              <w:spacing w:line="240" w:lineRule="auto"/>
              <w:rPr>
                <w:rFonts w:cs="Arial"/>
                <w:bCs/>
                <w:i/>
                <w:iCs/>
                <w:sz w:val="22"/>
                <w:szCs w:val="22"/>
              </w:rPr>
            </w:pPr>
            <w:r w:rsidRPr="00C23CDA">
              <w:rPr>
                <w:rFonts w:cs="Arial"/>
                <w:bCs/>
                <w:sz w:val="22"/>
                <w:szCs w:val="22"/>
              </w:rPr>
              <w:t>1. Základní identifikační údaje</w:t>
            </w:r>
          </w:p>
        </w:tc>
      </w:tr>
      <w:tr w:rsidR="004503DF" w:rsidRPr="00C23CDA" w:rsidTr="00395715">
        <w:trPr>
          <w:trHeight w:val="979"/>
          <w:jc w:val="center"/>
        </w:trPr>
        <w:tc>
          <w:tcPr>
            <w:tcW w:w="9648" w:type="dxa"/>
            <w:gridSpan w:val="2"/>
            <w:tcBorders>
              <w:top w:val="single" w:sz="4" w:space="0" w:color="auto"/>
              <w:left w:val="single" w:sz="12" w:space="0" w:color="000000"/>
              <w:bottom w:val="single" w:sz="4" w:space="0" w:color="auto"/>
              <w:right w:val="single" w:sz="12" w:space="0" w:color="000000"/>
            </w:tcBorders>
            <w:shd w:val="clear" w:color="auto" w:fill="auto"/>
            <w:vAlign w:val="center"/>
          </w:tcPr>
          <w:p w:rsidR="004503DF" w:rsidRPr="00C23CDA" w:rsidRDefault="004503DF" w:rsidP="00395715">
            <w:pPr>
              <w:tabs>
                <w:tab w:val="left" w:pos="6660"/>
              </w:tabs>
              <w:spacing w:after="0" w:line="240" w:lineRule="auto"/>
              <w:jc w:val="center"/>
              <w:rPr>
                <w:rFonts w:cs="Arial"/>
                <w:bCs/>
                <w:sz w:val="22"/>
                <w:szCs w:val="22"/>
              </w:rPr>
            </w:pPr>
            <w:r w:rsidRPr="00C23CDA">
              <w:rPr>
                <w:rFonts w:cs="Arial"/>
                <w:bCs/>
                <w:sz w:val="22"/>
                <w:szCs w:val="22"/>
              </w:rPr>
              <w:t xml:space="preserve">Název návrhu: </w:t>
            </w:r>
            <w:r w:rsidRPr="00C23CDA">
              <w:rPr>
                <w:rFonts w:cs="Arial"/>
                <w:bCs/>
                <w:sz w:val="22"/>
                <w:szCs w:val="22"/>
              </w:rPr>
              <w:fldChar w:fldCharType="begin">
                <w:ffData>
                  <w:name w:val=""/>
                  <w:enabled/>
                  <w:calcOnExit w:val="0"/>
                  <w:textInput/>
                </w:ffData>
              </w:fldChar>
            </w:r>
            <w:r w:rsidRPr="00C23CDA">
              <w:rPr>
                <w:rFonts w:cs="Arial"/>
                <w:bCs/>
                <w:sz w:val="22"/>
                <w:szCs w:val="22"/>
              </w:rPr>
              <w:instrText xml:space="preserve"> FORMTEXT </w:instrText>
            </w:r>
            <w:r w:rsidRPr="00C23CDA">
              <w:rPr>
                <w:rFonts w:cs="Arial"/>
                <w:bCs/>
                <w:sz w:val="22"/>
                <w:szCs w:val="22"/>
              </w:rPr>
            </w:r>
            <w:r w:rsidRPr="00C23CDA">
              <w:rPr>
                <w:rFonts w:cs="Arial"/>
                <w:bCs/>
                <w:sz w:val="22"/>
                <w:szCs w:val="22"/>
              </w:rPr>
              <w:fldChar w:fldCharType="separate"/>
            </w:r>
            <w:r w:rsidRPr="00C23CDA">
              <w:rPr>
                <w:rFonts w:eastAsia="MS Gothic" w:cs="Arial"/>
                <w:bCs/>
                <w:noProof/>
                <w:sz w:val="22"/>
                <w:szCs w:val="22"/>
              </w:rPr>
              <w:t>Návrh zákona, kterým se mění zákon č. 256/2004 Sb., o podnikání na kapitálovém trhu, ve znění pozdějších předpisů a další související zákony</w:t>
            </w:r>
            <w:r w:rsidRPr="00C23CDA">
              <w:rPr>
                <w:rFonts w:cs="Arial"/>
                <w:bCs/>
                <w:sz w:val="22"/>
                <w:szCs w:val="22"/>
              </w:rPr>
              <w:fldChar w:fldCharType="end"/>
            </w:r>
          </w:p>
        </w:tc>
      </w:tr>
      <w:tr w:rsidR="004503DF" w:rsidRPr="00C23CDA" w:rsidTr="00395715">
        <w:trPr>
          <w:trHeight w:val="979"/>
          <w:jc w:val="center"/>
        </w:trPr>
        <w:tc>
          <w:tcPr>
            <w:tcW w:w="4644" w:type="dxa"/>
            <w:tcBorders>
              <w:top w:val="single" w:sz="4" w:space="0" w:color="auto"/>
              <w:left w:val="single" w:sz="12" w:space="0" w:color="000000"/>
              <w:bottom w:val="single" w:sz="4" w:space="0" w:color="auto"/>
              <w:right w:val="single" w:sz="4" w:space="0" w:color="auto"/>
            </w:tcBorders>
            <w:shd w:val="clear" w:color="auto" w:fill="auto"/>
            <w:vAlign w:val="center"/>
          </w:tcPr>
          <w:p w:rsidR="004503DF" w:rsidRPr="00C23CDA" w:rsidRDefault="004503DF" w:rsidP="00395715">
            <w:pPr>
              <w:tabs>
                <w:tab w:val="left" w:pos="6660"/>
              </w:tabs>
              <w:spacing w:line="240" w:lineRule="auto"/>
              <w:jc w:val="center"/>
              <w:rPr>
                <w:rFonts w:cs="Arial"/>
                <w:bCs/>
                <w:sz w:val="22"/>
                <w:szCs w:val="22"/>
              </w:rPr>
            </w:pPr>
            <w:r w:rsidRPr="00C23CDA">
              <w:rPr>
                <w:rFonts w:cs="Arial"/>
                <w:bCs/>
                <w:sz w:val="22"/>
                <w:szCs w:val="22"/>
              </w:rPr>
              <w:t xml:space="preserve">Zpracovatel / zástupce předkladatele: </w:t>
            </w:r>
          </w:p>
          <w:p w:rsidR="004503DF" w:rsidRPr="00C23CDA" w:rsidRDefault="004503DF" w:rsidP="00395715">
            <w:pPr>
              <w:tabs>
                <w:tab w:val="left" w:pos="6660"/>
              </w:tabs>
              <w:spacing w:line="240" w:lineRule="auto"/>
              <w:jc w:val="center"/>
              <w:rPr>
                <w:rFonts w:cs="Arial"/>
                <w:bCs/>
                <w:sz w:val="22"/>
                <w:szCs w:val="22"/>
                <w:u w:val="single"/>
              </w:rPr>
            </w:pPr>
            <w:r w:rsidRPr="00C23CDA">
              <w:rPr>
                <w:rFonts w:cs="Arial"/>
                <w:bCs/>
                <w:sz w:val="22"/>
                <w:szCs w:val="22"/>
              </w:rPr>
              <w:fldChar w:fldCharType="begin">
                <w:ffData>
                  <w:name w:val=""/>
                  <w:enabled/>
                  <w:calcOnExit w:val="0"/>
                  <w:textInput/>
                </w:ffData>
              </w:fldChar>
            </w:r>
            <w:r w:rsidRPr="00C23CDA">
              <w:rPr>
                <w:rFonts w:cs="Arial"/>
                <w:bCs/>
                <w:sz w:val="22"/>
                <w:szCs w:val="22"/>
              </w:rPr>
              <w:instrText xml:space="preserve"> FORMTEXT </w:instrText>
            </w:r>
            <w:r w:rsidRPr="00C23CDA">
              <w:rPr>
                <w:rFonts w:cs="Arial"/>
                <w:bCs/>
                <w:sz w:val="22"/>
                <w:szCs w:val="22"/>
              </w:rPr>
            </w:r>
            <w:r w:rsidRPr="00C23CDA">
              <w:rPr>
                <w:rFonts w:cs="Arial"/>
                <w:bCs/>
                <w:sz w:val="22"/>
                <w:szCs w:val="22"/>
              </w:rPr>
              <w:fldChar w:fldCharType="separate"/>
            </w:r>
            <w:r w:rsidRPr="00C23CDA">
              <w:rPr>
                <w:rFonts w:eastAsia="MS Gothic" w:cs="Arial"/>
                <w:bCs/>
                <w:noProof/>
                <w:sz w:val="22"/>
                <w:szCs w:val="22"/>
              </w:rPr>
              <w:t>Ministerstvo financí</w:t>
            </w:r>
            <w:r w:rsidRPr="00C23CDA">
              <w:rPr>
                <w:rFonts w:cs="Arial"/>
                <w:bCs/>
                <w:sz w:val="22"/>
                <w:szCs w:val="22"/>
              </w:rPr>
              <w:fldChar w:fldCharType="end"/>
            </w:r>
            <w:r w:rsidRPr="00C23CDA">
              <w:rPr>
                <w:rFonts w:cs="Arial"/>
                <w:bCs/>
                <w:sz w:val="22"/>
                <w:szCs w:val="22"/>
                <w:u w:val="single"/>
              </w:rPr>
              <w:t xml:space="preserve"> </w:t>
            </w:r>
          </w:p>
        </w:tc>
        <w:tc>
          <w:tcPr>
            <w:tcW w:w="5004" w:type="dxa"/>
            <w:tcBorders>
              <w:top w:val="single" w:sz="4" w:space="0" w:color="auto"/>
              <w:left w:val="single" w:sz="4" w:space="0" w:color="auto"/>
              <w:bottom w:val="single" w:sz="4" w:space="0" w:color="auto"/>
              <w:right w:val="single" w:sz="12" w:space="0" w:color="000000"/>
            </w:tcBorders>
            <w:shd w:val="clear" w:color="auto" w:fill="auto"/>
            <w:vAlign w:val="center"/>
          </w:tcPr>
          <w:p w:rsidR="004503DF" w:rsidRPr="00C23CDA" w:rsidRDefault="004503DF" w:rsidP="00395715">
            <w:pPr>
              <w:tabs>
                <w:tab w:val="left" w:pos="6660"/>
              </w:tabs>
              <w:spacing w:line="240" w:lineRule="auto"/>
              <w:jc w:val="center"/>
              <w:rPr>
                <w:rFonts w:cs="Arial"/>
                <w:bCs/>
                <w:sz w:val="22"/>
                <w:szCs w:val="22"/>
              </w:rPr>
            </w:pPr>
            <w:r w:rsidRPr="00C23CDA">
              <w:rPr>
                <w:rFonts w:cs="Arial"/>
                <w:bCs/>
                <w:sz w:val="22"/>
                <w:szCs w:val="22"/>
              </w:rPr>
              <w:t>Předpokládaný termín nabytí účinnosti, v případě dělené účinnosti rozveďte</w:t>
            </w:r>
          </w:p>
          <w:p w:rsidR="004503DF" w:rsidRPr="00C23CDA" w:rsidRDefault="004503DF" w:rsidP="00395715">
            <w:pPr>
              <w:tabs>
                <w:tab w:val="left" w:pos="6660"/>
              </w:tabs>
              <w:spacing w:line="240" w:lineRule="auto"/>
              <w:jc w:val="center"/>
              <w:rPr>
                <w:rFonts w:cs="Arial"/>
                <w:i/>
                <w:iCs/>
                <w:sz w:val="22"/>
                <w:szCs w:val="22"/>
              </w:rPr>
            </w:pPr>
            <w:r w:rsidRPr="00C23CDA">
              <w:rPr>
                <w:rFonts w:cs="Arial"/>
                <w:bCs/>
                <w:i/>
                <w:iCs/>
                <w:sz w:val="22"/>
                <w:szCs w:val="22"/>
              </w:rPr>
              <w:fldChar w:fldCharType="begin">
                <w:ffData>
                  <w:name w:val="Text37"/>
                  <w:enabled/>
                  <w:calcOnExit w:val="0"/>
                  <w:textInput>
                    <w:default w:val="vyplňte měsíc"/>
                  </w:textInput>
                </w:ffData>
              </w:fldChar>
            </w:r>
            <w:r w:rsidRPr="00C23CDA">
              <w:rPr>
                <w:rFonts w:cs="Arial"/>
                <w:bCs/>
                <w:i/>
                <w:iCs/>
                <w:sz w:val="22"/>
                <w:szCs w:val="22"/>
              </w:rPr>
              <w:instrText xml:space="preserve"> FORMTEXT </w:instrText>
            </w:r>
            <w:r w:rsidRPr="00C23CDA">
              <w:rPr>
                <w:rFonts w:cs="Arial"/>
                <w:bCs/>
                <w:i/>
                <w:iCs/>
                <w:sz w:val="22"/>
                <w:szCs w:val="22"/>
              </w:rPr>
            </w:r>
            <w:r w:rsidRPr="00C23CDA">
              <w:rPr>
                <w:rFonts w:cs="Arial"/>
                <w:bCs/>
                <w:i/>
                <w:iCs/>
                <w:sz w:val="22"/>
                <w:szCs w:val="22"/>
              </w:rPr>
              <w:fldChar w:fldCharType="separate"/>
            </w:r>
            <w:proofErr w:type="gramStart"/>
            <w:r w:rsidRPr="00C23CDA">
              <w:rPr>
                <w:rFonts w:cs="Arial"/>
                <w:bCs/>
                <w:i/>
                <w:iCs/>
                <w:noProof/>
                <w:sz w:val="22"/>
                <w:szCs w:val="22"/>
              </w:rPr>
              <w:t>07</w:t>
            </w:r>
            <w:r w:rsidRPr="00C23CDA">
              <w:rPr>
                <w:rFonts w:cs="Arial"/>
                <w:bCs/>
                <w:i/>
                <w:iCs/>
                <w:sz w:val="22"/>
                <w:szCs w:val="22"/>
              </w:rPr>
              <w:fldChar w:fldCharType="end"/>
            </w:r>
            <w:r w:rsidRPr="00C23CDA">
              <w:rPr>
                <w:rFonts w:cs="Arial"/>
                <w:i/>
                <w:iCs/>
                <w:sz w:val="22"/>
                <w:szCs w:val="22"/>
              </w:rPr>
              <w:t>.</w:t>
            </w:r>
            <w:r w:rsidRPr="00C23CDA">
              <w:rPr>
                <w:rFonts w:cs="Arial"/>
                <w:i/>
                <w:iCs/>
                <w:sz w:val="22"/>
                <w:szCs w:val="22"/>
              </w:rPr>
              <w:fldChar w:fldCharType="begin">
                <w:ffData>
                  <w:name w:val="Text36"/>
                  <w:enabled/>
                  <w:calcOnExit w:val="0"/>
                  <w:textInput>
                    <w:default w:val="vyplňte rok"/>
                  </w:textInput>
                </w:ffData>
              </w:fldChar>
            </w:r>
            <w:r w:rsidRPr="00C23CDA">
              <w:rPr>
                <w:rFonts w:cs="Arial"/>
                <w:i/>
                <w:iCs/>
                <w:sz w:val="22"/>
                <w:szCs w:val="22"/>
              </w:rPr>
              <w:instrText xml:space="preserve"> FORMTEXT </w:instrText>
            </w:r>
            <w:r w:rsidRPr="00C23CDA">
              <w:rPr>
                <w:rFonts w:cs="Arial"/>
                <w:i/>
                <w:iCs/>
                <w:sz w:val="22"/>
                <w:szCs w:val="22"/>
              </w:rPr>
            </w:r>
            <w:r w:rsidRPr="00C23CDA">
              <w:rPr>
                <w:rFonts w:cs="Arial"/>
                <w:i/>
                <w:iCs/>
                <w:sz w:val="22"/>
                <w:szCs w:val="22"/>
              </w:rPr>
              <w:fldChar w:fldCharType="separate"/>
            </w:r>
            <w:r w:rsidRPr="00C23CDA">
              <w:rPr>
                <w:rFonts w:cs="Arial"/>
                <w:i/>
                <w:iCs/>
                <w:sz w:val="22"/>
                <w:szCs w:val="22"/>
              </w:rPr>
              <w:t>2019</w:t>
            </w:r>
            <w:proofErr w:type="gramEnd"/>
            <w:r w:rsidRPr="00C23CDA">
              <w:rPr>
                <w:rFonts w:cs="Arial"/>
                <w:i/>
                <w:iCs/>
                <w:sz w:val="22"/>
                <w:szCs w:val="22"/>
              </w:rPr>
              <w:fldChar w:fldCharType="end"/>
            </w:r>
          </w:p>
          <w:p w:rsidR="004503DF" w:rsidRPr="00C23CDA" w:rsidRDefault="004503DF" w:rsidP="00395715">
            <w:pPr>
              <w:tabs>
                <w:tab w:val="left" w:pos="6660"/>
              </w:tabs>
              <w:spacing w:line="240" w:lineRule="auto"/>
              <w:jc w:val="center"/>
              <w:rPr>
                <w:rFonts w:cs="Arial"/>
                <w:bCs/>
                <w:sz w:val="22"/>
                <w:szCs w:val="22"/>
              </w:rPr>
            </w:pPr>
            <w:r w:rsidRPr="00C23CDA">
              <w:rPr>
                <w:rFonts w:cs="Arial"/>
                <w:bCs/>
                <w:sz w:val="22"/>
                <w:szCs w:val="22"/>
              </w:rPr>
              <w:fldChar w:fldCharType="begin">
                <w:ffData>
                  <w:name w:val=""/>
                  <w:enabled/>
                  <w:calcOnExit w:val="0"/>
                  <w:textInput/>
                </w:ffData>
              </w:fldChar>
            </w:r>
            <w:r w:rsidRPr="00C23CDA">
              <w:rPr>
                <w:rFonts w:cs="Arial"/>
                <w:bCs/>
                <w:sz w:val="22"/>
                <w:szCs w:val="22"/>
              </w:rPr>
              <w:instrText xml:space="preserve"> FORMTEXT </w:instrText>
            </w:r>
            <w:r w:rsidRPr="00C23CDA">
              <w:rPr>
                <w:rFonts w:cs="Arial"/>
                <w:bCs/>
                <w:sz w:val="22"/>
                <w:szCs w:val="22"/>
              </w:rPr>
            </w:r>
            <w:r w:rsidRPr="00C23CDA">
              <w:rPr>
                <w:rFonts w:cs="Arial"/>
                <w:bCs/>
                <w:sz w:val="22"/>
                <w:szCs w:val="22"/>
              </w:rPr>
              <w:fldChar w:fldCharType="separate"/>
            </w:r>
            <w:r w:rsidRPr="00C23CDA">
              <w:rPr>
                <w:rFonts w:eastAsia="MS Gothic" w:cs="Arial"/>
                <w:bCs/>
                <w:noProof/>
                <w:sz w:val="22"/>
                <w:szCs w:val="22"/>
              </w:rPr>
              <w:t> </w:t>
            </w:r>
            <w:r w:rsidRPr="00C23CDA">
              <w:rPr>
                <w:rFonts w:eastAsia="MS Gothic" w:cs="Arial"/>
                <w:bCs/>
                <w:noProof/>
                <w:sz w:val="22"/>
                <w:szCs w:val="22"/>
              </w:rPr>
              <w:t> </w:t>
            </w:r>
            <w:r w:rsidRPr="00C23CDA">
              <w:rPr>
                <w:rFonts w:eastAsia="MS Gothic" w:cs="Arial"/>
                <w:bCs/>
                <w:noProof/>
                <w:sz w:val="22"/>
                <w:szCs w:val="22"/>
              </w:rPr>
              <w:t> </w:t>
            </w:r>
            <w:r w:rsidRPr="00C23CDA">
              <w:rPr>
                <w:rFonts w:eastAsia="MS Gothic" w:cs="Arial"/>
                <w:bCs/>
                <w:noProof/>
                <w:sz w:val="22"/>
                <w:szCs w:val="22"/>
              </w:rPr>
              <w:t> </w:t>
            </w:r>
            <w:r w:rsidRPr="00C23CDA">
              <w:rPr>
                <w:rFonts w:eastAsia="MS Gothic" w:cs="Arial"/>
                <w:bCs/>
                <w:noProof/>
                <w:sz w:val="22"/>
                <w:szCs w:val="22"/>
              </w:rPr>
              <w:t> </w:t>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12" w:space="0" w:color="000000"/>
              <w:left w:val="single" w:sz="12" w:space="0" w:color="000000"/>
              <w:right w:val="single" w:sz="12" w:space="0" w:color="000000"/>
            </w:tcBorders>
            <w:shd w:val="clear" w:color="auto" w:fill="auto"/>
            <w:vAlign w:val="center"/>
          </w:tcPr>
          <w:p w:rsidR="004503DF" w:rsidRPr="00C23CDA" w:rsidRDefault="004503DF" w:rsidP="00395715">
            <w:pPr>
              <w:tabs>
                <w:tab w:val="left" w:pos="6660"/>
              </w:tabs>
              <w:spacing w:before="100" w:beforeAutospacing="1" w:after="0" w:line="240" w:lineRule="auto"/>
              <w:rPr>
                <w:rFonts w:cs="Arial"/>
                <w:bCs/>
                <w:sz w:val="22"/>
                <w:szCs w:val="22"/>
              </w:rPr>
            </w:pPr>
            <w:r w:rsidRPr="00C23CDA">
              <w:rPr>
                <w:rFonts w:cs="Arial"/>
                <w:bCs/>
                <w:sz w:val="22"/>
                <w:szCs w:val="22"/>
              </w:rPr>
              <w:t xml:space="preserve">Implementace práva EU: </w:t>
            </w:r>
            <w:r w:rsidRPr="00C23CDA">
              <w:rPr>
                <w:rFonts w:cs="Arial"/>
                <w:bCs/>
                <w:sz w:val="22"/>
                <w:szCs w:val="22"/>
              </w:rPr>
              <w:fldChar w:fldCharType="begin">
                <w:ffData>
                  <w:name w:val=""/>
                  <w:enabled/>
                  <w:calcOnExit w:val="0"/>
                  <w:ddList>
                    <w:result w:val="1"/>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r w:rsidRPr="00C23CDA">
              <w:rPr>
                <w:rFonts w:cs="Arial"/>
                <w:sz w:val="22"/>
                <w:szCs w:val="22"/>
              </w:rPr>
              <w:t>; (p</w:t>
            </w:r>
            <w:r w:rsidRPr="00C23CDA">
              <w:rPr>
                <w:rFonts w:cs="Arial"/>
                <w:bCs/>
                <w:sz w:val="22"/>
                <w:szCs w:val="22"/>
              </w:rPr>
              <w:t>okud zvolíte Ano):</w:t>
            </w:r>
          </w:p>
          <w:p w:rsidR="004503DF" w:rsidRPr="00C23CDA" w:rsidRDefault="004503DF" w:rsidP="00395715">
            <w:pPr>
              <w:tabs>
                <w:tab w:val="left" w:pos="6660"/>
              </w:tabs>
              <w:spacing w:line="240" w:lineRule="auto"/>
              <w:rPr>
                <w:rFonts w:cs="Arial"/>
                <w:i/>
                <w:iCs/>
                <w:sz w:val="22"/>
                <w:szCs w:val="22"/>
              </w:rPr>
            </w:pPr>
            <w:r w:rsidRPr="00C23CDA">
              <w:rPr>
                <w:rFonts w:cs="Arial"/>
                <w:bCs/>
                <w:sz w:val="22"/>
                <w:szCs w:val="22"/>
              </w:rPr>
              <w:t xml:space="preserve">- uveďte termín stanovený pro implementaci: </w:t>
            </w:r>
            <w:r w:rsidRPr="00C23CDA">
              <w:rPr>
                <w:rFonts w:cs="Arial"/>
                <w:bCs/>
                <w:i/>
                <w:iCs/>
                <w:sz w:val="22"/>
                <w:szCs w:val="22"/>
              </w:rPr>
              <w:fldChar w:fldCharType="begin">
                <w:ffData>
                  <w:name w:val="Text37"/>
                  <w:enabled/>
                  <w:calcOnExit w:val="0"/>
                  <w:textInput>
                    <w:default w:val="vyplňte měsíc"/>
                  </w:textInput>
                </w:ffData>
              </w:fldChar>
            </w:r>
            <w:r w:rsidRPr="00C23CDA">
              <w:rPr>
                <w:rFonts w:cs="Arial"/>
                <w:bCs/>
                <w:i/>
                <w:iCs/>
                <w:sz w:val="22"/>
                <w:szCs w:val="22"/>
              </w:rPr>
              <w:instrText xml:space="preserve"> FORMTEXT </w:instrText>
            </w:r>
            <w:r w:rsidRPr="00C23CDA">
              <w:rPr>
                <w:rFonts w:cs="Arial"/>
                <w:bCs/>
                <w:i/>
                <w:iCs/>
                <w:sz w:val="22"/>
                <w:szCs w:val="22"/>
              </w:rPr>
            </w:r>
            <w:r w:rsidRPr="00C23CDA">
              <w:rPr>
                <w:rFonts w:cs="Arial"/>
                <w:bCs/>
                <w:i/>
                <w:iCs/>
                <w:sz w:val="22"/>
                <w:szCs w:val="22"/>
              </w:rPr>
              <w:fldChar w:fldCharType="separate"/>
            </w:r>
            <w:proofErr w:type="gramStart"/>
            <w:r w:rsidRPr="00C23CDA">
              <w:rPr>
                <w:rFonts w:cs="Arial"/>
                <w:bCs/>
                <w:i/>
                <w:iCs/>
                <w:noProof/>
                <w:sz w:val="22"/>
                <w:szCs w:val="22"/>
              </w:rPr>
              <w:t>07</w:t>
            </w:r>
            <w:r w:rsidRPr="00C23CDA">
              <w:rPr>
                <w:rFonts w:cs="Arial"/>
                <w:bCs/>
                <w:i/>
                <w:iCs/>
                <w:sz w:val="22"/>
                <w:szCs w:val="22"/>
              </w:rPr>
              <w:fldChar w:fldCharType="end"/>
            </w:r>
            <w:r w:rsidRPr="00C23CDA">
              <w:rPr>
                <w:rFonts w:cs="Arial"/>
                <w:i/>
                <w:iCs/>
                <w:sz w:val="22"/>
                <w:szCs w:val="22"/>
              </w:rPr>
              <w:t>.</w:t>
            </w:r>
            <w:r w:rsidRPr="00C23CDA">
              <w:rPr>
                <w:rFonts w:cs="Arial"/>
                <w:i/>
                <w:iCs/>
                <w:sz w:val="22"/>
                <w:szCs w:val="22"/>
              </w:rPr>
              <w:fldChar w:fldCharType="begin">
                <w:ffData>
                  <w:name w:val="Text36"/>
                  <w:enabled/>
                  <w:calcOnExit w:val="0"/>
                  <w:textInput>
                    <w:default w:val="vyplňte rok"/>
                  </w:textInput>
                </w:ffData>
              </w:fldChar>
            </w:r>
            <w:r w:rsidRPr="00C23CDA">
              <w:rPr>
                <w:rFonts w:cs="Arial"/>
                <w:i/>
                <w:iCs/>
                <w:sz w:val="22"/>
                <w:szCs w:val="22"/>
              </w:rPr>
              <w:instrText xml:space="preserve"> FORMTEXT </w:instrText>
            </w:r>
            <w:r w:rsidRPr="00C23CDA">
              <w:rPr>
                <w:rFonts w:cs="Arial"/>
                <w:i/>
                <w:iCs/>
                <w:sz w:val="22"/>
                <w:szCs w:val="22"/>
              </w:rPr>
            </w:r>
            <w:r w:rsidRPr="00C23CDA">
              <w:rPr>
                <w:rFonts w:cs="Arial"/>
                <w:i/>
                <w:iCs/>
                <w:sz w:val="22"/>
                <w:szCs w:val="22"/>
              </w:rPr>
              <w:fldChar w:fldCharType="separate"/>
            </w:r>
            <w:r w:rsidRPr="00C23CDA">
              <w:rPr>
                <w:rFonts w:cs="Arial"/>
                <w:i/>
                <w:iCs/>
                <w:noProof/>
                <w:sz w:val="22"/>
                <w:szCs w:val="22"/>
              </w:rPr>
              <w:t>2019</w:t>
            </w:r>
            <w:proofErr w:type="gramEnd"/>
            <w:r w:rsidRPr="00C23CDA">
              <w:rPr>
                <w:rFonts w:cs="Arial"/>
                <w:i/>
                <w:iCs/>
                <w:sz w:val="22"/>
                <w:szCs w:val="22"/>
              </w:rPr>
              <w:fldChar w:fldCharType="end"/>
            </w:r>
          </w:p>
          <w:p w:rsidR="004503DF" w:rsidRPr="00C23CDA" w:rsidRDefault="004503DF" w:rsidP="00395715">
            <w:pPr>
              <w:tabs>
                <w:tab w:val="left" w:pos="6660"/>
              </w:tabs>
              <w:rPr>
                <w:rFonts w:cs="Arial"/>
                <w:i/>
                <w:iCs/>
                <w:sz w:val="22"/>
                <w:szCs w:val="22"/>
                <w:u w:val="single"/>
              </w:rPr>
            </w:pPr>
            <w:r w:rsidRPr="00C23CDA">
              <w:rPr>
                <w:rFonts w:cs="Arial"/>
                <w:bCs/>
                <w:sz w:val="22"/>
                <w:szCs w:val="22"/>
              </w:rPr>
              <w:t xml:space="preserve">- uveďte, zda jde návrh nad rámec požadavků stanovených předpisem EU?: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6660"/>
              </w:tabs>
              <w:spacing w:line="240" w:lineRule="auto"/>
              <w:rPr>
                <w:rFonts w:cs="Arial"/>
                <w:bCs/>
                <w:sz w:val="22"/>
                <w:szCs w:val="22"/>
              </w:rPr>
            </w:pPr>
            <w:r w:rsidRPr="00C23CDA">
              <w:rPr>
                <w:rFonts w:cs="Arial"/>
                <w:bCs/>
                <w:sz w:val="22"/>
                <w:szCs w:val="22"/>
              </w:rPr>
              <w:t xml:space="preserve">2. Cíl návrhu zákona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 </w:t>
            </w:r>
            <w:r w:rsidRPr="00C23CDA">
              <w:rPr>
                <w:rFonts w:cs="Arial"/>
                <w:bCs/>
                <w:sz w:val="22"/>
                <w:szCs w:val="22"/>
              </w:rPr>
              <w:fldChar w:fldCharType="begin">
                <w:ffData>
                  <w:name w:val=""/>
                  <w:enabled/>
                  <w:calcOnExit w:val="0"/>
                  <w:textInput/>
                </w:ffData>
              </w:fldChar>
            </w:r>
            <w:r w:rsidRPr="00C23CDA">
              <w:rPr>
                <w:rFonts w:cs="Arial"/>
                <w:bCs/>
                <w:sz w:val="22"/>
                <w:szCs w:val="22"/>
              </w:rPr>
              <w:instrText xml:space="preserve"> FORMTEXT </w:instrText>
            </w:r>
            <w:r w:rsidRPr="00C23CDA">
              <w:rPr>
                <w:rFonts w:cs="Arial"/>
                <w:bCs/>
                <w:sz w:val="22"/>
                <w:szCs w:val="22"/>
              </w:rPr>
            </w:r>
            <w:r w:rsidRPr="00C23CDA">
              <w:rPr>
                <w:rFonts w:cs="Arial"/>
                <w:bCs/>
                <w:sz w:val="22"/>
                <w:szCs w:val="22"/>
              </w:rPr>
              <w:fldChar w:fldCharType="separate"/>
            </w:r>
            <w:r w:rsidRPr="00C23CDA">
              <w:rPr>
                <w:rFonts w:cs="Arial"/>
                <w:bCs/>
                <w:sz w:val="22"/>
                <w:szCs w:val="22"/>
              </w:rPr>
              <w:t>Dne 30. června 2017 bylo v Úředním věstníku Evropské unie publikováno nařízení Evropského parlamentu a Rady (EU) 2017/1129 ze dne 14. června 2017 o prospektu, který má být uveřejněn při veřejné nabídce nebo přijetí cenných papírů k obchodování na regulovaném trhu, a o zrušení směrnice 2003/71/ES (dále jen "nařízení o prospektu"). Uvedená směrnice je v českém právu transponována zejména v § 34 až 36m zákona č. 256/2004 Sb., o podnikání na kapitálovém trhu, ve znění pozdějších předpisů. Toto přímo závazné nařízení Evropské unie se sice bezprostředně použije od 21. července 2019, avšak je třeba právní řád na nařízení adaptovat.</w:t>
            </w:r>
          </w:p>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Cílem návrhu zákona je zejména adaptace právního řádu, konkrétně zákona č. 256/2004 Sb., o podnikání na kapitálovém trhu, ve znění pozdějších předpisů na nařízení o prospektu. </w:t>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 </w:t>
            </w:r>
            <w:r w:rsidRPr="00C23CDA">
              <w:rPr>
                <w:rFonts w:cs="Arial"/>
                <w:sz w:val="22"/>
                <w:szCs w:val="22"/>
              </w:rPr>
              <w:t>Agregované</w:t>
            </w:r>
            <w:r w:rsidRPr="00C23CDA">
              <w:rPr>
                <w:rFonts w:cs="Arial"/>
                <w:bCs/>
                <w:sz w:val="22"/>
                <w:szCs w:val="22"/>
              </w:rPr>
              <w:t xml:space="preserve"> dopady návrhu zákona</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3.1 Dopady na státní rozpočet a ostatní veřejné rozpočty: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r w:rsidRPr="00C23CDA">
              <w:rPr>
                <w:rFonts w:cs="Arial"/>
                <w:bCs/>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i/>
                <w:noProof/>
                <w:sz w:val="22"/>
                <w:szCs w:val="22"/>
              </w:rPr>
            </w:pPr>
            <w:r w:rsidRPr="00C23CDA">
              <w:rPr>
                <w:rFonts w:cs="Arial"/>
                <w:bCs/>
                <w:i/>
                <w:sz w:val="22"/>
                <w:szCs w:val="22"/>
              </w:rPr>
              <w:fldChar w:fldCharType="begin">
                <w:ffData>
                  <w:name w:val="Text25"/>
                  <w:enabled/>
                  <w:calcOnExit w:val="0"/>
                  <w:textInput>
                    <w:default w:val="Pokud ano, specifikujte."/>
                  </w:textInput>
                </w:ffData>
              </w:fldChar>
            </w:r>
            <w:bookmarkStart w:id="1" w:name="Text25"/>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noProof/>
                <w:sz w:val="22"/>
                <w:szCs w:val="22"/>
              </w:rPr>
              <w:t xml:space="preserve">Navrhovaná úprava nebude mít dopad na státní rozpočet. Z navrhovaného zákona nevyplývá zvýšení nároků na státní rozpočet ani na ostatní veřejné rozpočty, zejména rozpočty obcí a krajů, protože z úpravy nevyplývají povinnosti ani opatření, jejichž zajištění by vyžadovalo vynaložení finančních prostředků. </w:t>
            </w:r>
          </w:p>
          <w:p w:rsidR="004503DF" w:rsidRPr="00C23CDA" w:rsidRDefault="004503DF" w:rsidP="00395715">
            <w:pPr>
              <w:tabs>
                <w:tab w:val="left" w:pos="1037"/>
              </w:tabs>
              <w:spacing w:line="240" w:lineRule="auto"/>
              <w:rPr>
                <w:rFonts w:cs="Arial"/>
                <w:bCs/>
                <w:sz w:val="22"/>
                <w:szCs w:val="22"/>
              </w:rPr>
            </w:pPr>
            <w:r w:rsidRPr="00C23CDA">
              <w:rPr>
                <w:rFonts w:cs="Arial"/>
                <w:bCs/>
                <w:i/>
                <w:noProof/>
                <w:sz w:val="22"/>
                <w:szCs w:val="22"/>
              </w:rPr>
              <w:t>V některých případech může navrhovaná právní úprava znamenat zvýšené náklady pro Českou národní banku.</w:t>
            </w:r>
            <w:r w:rsidRPr="00C23CDA">
              <w:rPr>
                <w:rFonts w:cs="Arial"/>
                <w:bCs/>
                <w:i/>
                <w:sz w:val="22"/>
                <w:szCs w:val="22"/>
              </w:rPr>
              <w:fldChar w:fldCharType="end"/>
            </w:r>
            <w:bookmarkEnd w:id="1"/>
            <w:r w:rsidRPr="00C23CDA">
              <w:rPr>
                <w:rFonts w:cs="Arial"/>
                <w:bCs/>
                <w:i/>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3.2 Dopady na mezinárodní konkurenceschopnost ČR: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Text25"/>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Zachování stávajícího stavu z důvodu nevyužití diskrecí.</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3.3 Dopady na podnikatelské prostředí: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r w:rsidRPr="00C23CDA">
              <w:rPr>
                <w:rFonts w:cs="Arial"/>
                <w:bCs/>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noProof/>
                <w:sz w:val="22"/>
                <w:szCs w:val="22"/>
              </w:rPr>
              <w:t>Zachování stávajícího stavu z důvodu nevyužití diskrecí.</w:t>
            </w:r>
            <w:r w:rsidRPr="00C23CDA">
              <w:rPr>
                <w:rFonts w:cs="Arial"/>
                <w:bCs/>
                <w:i/>
                <w:sz w:val="22"/>
                <w:szCs w:val="22"/>
              </w:rPr>
              <w:fldChar w:fldCharType="end"/>
            </w:r>
            <w:r w:rsidRPr="00C23CDA">
              <w:rPr>
                <w:rFonts w:cs="Arial"/>
                <w:bCs/>
                <w:i/>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lastRenderedPageBreak/>
              <w:t xml:space="preserve">3.4 Dopady na územní samosprávné celky (obce, kraje):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r w:rsidRPr="00C23CDA">
              <w:rPr>
                <w:rFonts w:cs="Arial"/>
                <w:bCs/>
                <w:sz w:val="22"/>
                <w:szCs w:val="22"/>
              </w:rPr>
              <w:t xml:space="preserve"> </w:t>
            </w:r>
          </w:p>
        </w:tc>
      </w:tr>
      <w:tr w:rsidR="004503DF" w:rsidRPr="00C23CDA" w:rsidDel="007D15F9"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Del="007D15F9"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r w:rsidRPr="00C23CDA">
              <w:rPr>
                <w:rFonts w:cs="Arial"/>
                <w:bCs/>
                <w:i/>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 w:val="left" w:pos="3970"/>
              </w:tabs>
              <w:spacing w:line="240" w:lineRule="auto"/>
              <w:rPr>
                <w:rFonts w:cs="Arial"/>
                <w:bCs/>
                <w:sz w:val="22"/>
                <w:szCs w:val="22"/>
              </w:rPr>
            </w:pPr>
            <w:r w:rsidRPr="00C23CDA">
              <w:rPr>
                <w:rFonts w:cs="Arial"/>
                <w:bCs/>
                <w:sz w:val="22"/>
                <w:szCs w:val="22"/>
              </w:rPr>
              <w:t xml:space="preserve">3.5 Sociální dopady: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r w:rsidRPr="00C23CDA">
              <w:rPr>
                <w:rFonts w:cs="Arial"/>
                <w:bCs/>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r w:rsidRPr="00C23CDA">
              <w:rPr>
                <w:rFonts w:cs="Arial"/>
                <w:bCs/>
                <w:i/>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3.6 Dopady na spotřebitele: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Text25"/>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3.7 Dopady na životní prostředí: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r w:rsidRPr="00C23CDA">
              <w:rPr>
                <w:rFonts w:cs="Arial"/>
                <w:bCs/>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55"/>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r w:rsidRPr="00C23CDA">
              <w:rPr>
                <w:rFonts w:cs="Arial"/>
                <w:bCs/>
                <w:i/>
                <w:sz w:val="22"/>
                <w:szCs w:val="22"/>
              </w:rPr>
              <w:t xml:space="preserve"> </w:t>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sz w:val="22"/>
                <w:szCs w:val="22"/>
              </w:rPr>
              <w:t>3.8 Dopady ve vztahu k zákazu diskriminace a ve vztahu k rovnosti žen a mužů</w:t>
            </w:r>
            <w:r w:rsidRPr="00C23CDA">
              <w:rPr>
                <w:rFonts w:cs="Arial"/>
                <w:bCs/>
                <w:sz w:val="22"/>
                <w:szCs w:val="22"/>
              </w:rPr>
              <w:t xml:space="preserve">: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3.9 Dopady na výkon státní statistické služby: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3.10 Korupční rizika: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rsidR="004503DF" w:rsidRPr="00C23CDA" w:rsidRDefault="004503DF" w:rsidP="00395715">
            <w:pPr>
              <w:tabs>
                <w:tab w:val="left" w:pos="1037"/>
              </w:tabs>
              <w:spacing w:line="240" w:lineRule="auto"/>
              <w:rPr>
                <w:rFonts w:cs="Arial"/>
                <w:bCs/>
                <w:sz w:val="22"/>
                <w:szCs w:val="22"/>
              </w:rPr>
            </w:pPr>
            <w:r w:rsidRPr="00C23CDA">
              <w:rPr>
                <w:rFonts w:cs="Arial"/>
                <w:bCs/>
                <w:sz w:val="22"/>
                <w:szCs w:val="22"/>
              </w:rPr>
              <w:t xml:space="preserve">3.11 Dopady na bezpečnost nebo obranu státu: </w:t>
            </w:r>
            <w:r w:rsidRPr="00C23CDA">
              <w:rPr>
                <w:rFonts w:cs="Arial"/>
                <w:bCs/>
                <w:sz w:val="22"/>
                <w:szCs w:val="22"/>
              </w:rPr>
              <w:fldChar w:fldCharType="begin">
                <w:ffData>
                  <w:name w:val=""/>
                  <w:enabled/>
                  <w:calcOnExit w:val="0"/>
                  <w:ddList>
                    <w:result w:val="2"/>
                    <w:listEntry w:val="Vyberte Ano / Ne"/>
                    <w:listEntry w:val="Ano"/>
                    <w:listEntry w:val="Ne"/>
                  </w:ddList>
                </w:ffData>
              </w:fldChar>
            </w:r>
            <w:r w:rsidRPr="00C23CDA">
              <w:rPr>
                <w:rFonts w:cs="Arial"/>
                <w:bCs/>
                <w:sz w:val="22"/>
                <w:szCs w:val="22"/>
              </w:rPr>
              <w:instrText xml:space="preserve"> FORMDROPDOWN </w:instrText>
            </w:r>
            <w:r w:rsidR="00C23CDA" w:rsidRPr="00C23CDA">
              <w:rPr>
                <w:rFonts w:cs="Arial"/>
                <w:bCs/>
                <w:sz w:val="22"/>
                <w:szCs w:val="22"/>
              </w:rPr>
            </w:r>
            <w:r w:rsidR="00C23CDA" w:rsidRPr="00C23CDA">
              <w:rPr>
                <w:rFonts w:cs="Arial"/>
                <w:bCs/>
                <w:sz w:val="22"/>
                <w:szCs w:val="22"/>
              </w:rPr>
              <w:fldChar w:fldCharType="separate"/>
            </w:r>
            <w:r w:rsidRPr="00C23CDA">
              <w:rPr>
                <w:rFonts w:cs="Arial"/>
                <w:bCs/>
                <w:sz w:val="22"/>
                <w:szCs w:val="22"/>
              </w:rPr>
              <w:fldChar w:fldCharType="end"/>
            </w:r>
          </w:p>
        </w:tc>
      </w:tr>
      <w:tr w:rsidR="004503DF" w:rsidRPr="00C23CDA" w:rsidTr="00395715">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rsidR="004503DF" w:rsidRPr="00C23CDA" w:rsidRDefault="004503DF" w:rsidP="00395715">
            <w:pPr>
              <w:tabs>
                <w:tab w:val="left" w:pos="1037"/>
              </w:tabs>
              <w:spacing w:line="240" w:lineRule="auto"/>
              <w:rPr>
                <w:rFonts w:cs="Arial"/>
                <w:bCs/>
                <w:sz w:val="22"/>
                <w:szCs w:val="22"/>
              </w:rPr>
            </w:pPr>
            <w:r w:rsidRPr="00C23CDA">
              <w:rPr>
                <w:rFonts w:cs="Arial"/>
                <w:bCs/>
                <w:i/>
                <w:sz w:val="22"/>
                <w:szCs w:val="22"/>
              </w:rPr>
              <w:fldChar w:fldCharType="begin">
                <w:ffData>
                  <w:name w:val=""/>
                  <w:enabled/>
                  <w:calcOnExit w:val="0"/>
                  <w:textInput>
                    <w:default w:val="Pokud ano, specifikujte."/>
                  </w:textInput>
                </w:ffData>
              </w:fldChar>
            </w:r>
            <w:r w:rsidRPr="00C23CDA">
              <w:rPr>
                <w:rFonts w:cs="Arial"/>
                <w:bCs/>
                <w:i/>
                <w:sz w:val="22"/>
                <w:szCs w:val="22"/>
              </w:rPr>
              <w:instrText xml:space="preserve"> FORMTEXT </w:instrText>
            </w:r>
            <w:r w:rsidRPr="00C23CDA">
              <w:rPr>
                <w:rFonts w:cs="Arial"/>
                <w:bCs/>
                <w:i/>
                <w:sz w:val="22"/>
                <w:szCs w:val="22"/>
              </w:rPr>
            </w:r>
            <w:r w:rsidRPr="00C23CDA">
              <w:rPr>
                <w:rFonts w:cs="Arial"/>
                <w:bCs/>
                <w:i/>
                <w:sz w:val="22"/>
                <w:szCs w:val="22"/>
              </w:rPr>
              <w:fldChar w:fldCharType="separate"/>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t> </w:t>
            </w:r>
            <w:r w:rsidRPr="00C23CDA">
              <w:rPr>
                <w:rFonts w:cs="Arial"/>
                <w:bCs/>
                <w:i/>
                <w:sz w:val="22"/>
                <w:szCs w:val="22"/>
              </w:rPr>
              <w:fldChar w:fldCharType="end"/>
            </w:r>
          </w:p>
        </w:tc>
      </w:tr>
    </w:tbl>
    <w:p w:rsidR="004503DF" w:rsidRPr="00C23CDA" w:rsidRDefault="004503DF" w:rsidP="004503DF">
      <w:pPr>
        <w:rPr>
          <w:rFonts w:cs="Arial"/>
          <w:b/>
          <w:u w:val="single"/>
        </w:rPr>
      </w:pPr>
    </w:p>
    <w:p w:rsidR="009C2D9A" w:rsidRPr="007264DC" w:rsidRDefault="009C2D9A" w:rsidP="004503DF">
      <w:pPr>
        <w:tabs>
          <w:tab w:val="left" w:pos="6660"/>
        </w:tabs>
        <w:spacing w:line="240" w:lineRule="auto"/>
        <w:jc w:val="center"/>
        <w:rPr>
          <w:rFonts w:cs="Arial"/>
          <w:b/>
          <w:u w:val="single"/>
        </w:rPr>
      </w:pPr>
    </w:p>
    <w:p w:rsidR="003A47E2" w:rsidRPr="007264DC" w:rsidRDefault="003A47E2" w:rsidP="007264DC">
      <w:pPr>
        <w:spacing w:line="240" w:lineRule="auto"/>
        <w:rPr>
          <w:rFonts w:cs="Arial"/>
          <w:b/>
          <w:u w:val="single"/>
        </w:rPr>
      </w:pPr>
    </w:p>
    <w:p w:rsidR="00236360" w:rsidRPr="007264DC" w:rsidRDefault="00236360" w:rsidP="007264DC">
      <w:pPr>
        <w:keepNext/>
        <w:spacing w:line="240" w:lineRule="auto"/>
        <w:ind w:left="425" w:hanging="425"/>
        <w:outlineLvl w:val="0"/>
        <w:rPr>
          <w:rFonts w:eastAsia="Times New Roman" w:cs="Arial"/>
          <w:b/>
          <w:lang w:eastAsia="x-none"/>
        </w:rPr>
      </w:pPr>
    </w:p>
    <w:p w:rsidR="003A47E2" w:rsidRPr="007264DC" w:rsidRDefault="003A47E2" w:rsidP="007264DC">
      <w:pPr>
        <w:keepNext/>
        <w:spacing w:line="240" w:lineRule="auto"/>
        <w:outlineLvl w:val="0"/>
        <w:rPr>
          <w:rFonts w:eastAsia="Times New Roman" w:cs="Arial"/>
          <w:b/>
          <w:lang w:eastAsia="x-none"/>
        </w:rPr>
      </w:pPr>
      <w:r w:rsidRPr="007264DC">
        <w:rPr>
          <w:rFonts w:eastAsia="Times New Roman" w:cs="Arial"/>
          <w:b/>
          <w:lang w:eastAsia="x-none"/>
        </w:rPr>
        <w:t>Seznam z</w:t>
      </w:r>
      <w:proofErr w:type="spellStart"/>
      <w:r w:rsidRPr="007264DC">
        <w:rPr>
          <w:rFonts w:eastAsia="Times New Roman" w:cs="Arial"/>
          <w:b/>
          <w:lang w:val="x-none" w:eastAsia="x-none"/>
        </w:rPr>
        <w:t>krat</w:t>
      </w:r>
      <w:r w:rsidRPr="007264DC">
        <w:rPr>
          <w:rFonts w:eastAsia="Times New Roman" w:cs="Arial"/>
          <w:b/>
          <w:lang w:eastAsia="x-none"/>
        </w:rPr>
        <w:t>e</w:t>
      </w:r>
      <w:proofErr w:type="spellEnd"/>
      <w:r w:rsidRPr="007264DC">
        <w:rPr>
          <w:rFonts w:eastAsia="Times New Roman" w:cs="Arial"/>
          <w:b/>
          <w:lang w:val="x-none" w:eastAsia="x-none"/>
        </w:rPr>
        <w:t>k</w:t>
      </w:r>
    </w:p>
    <w:tbl>
      <w:tblPr>
        <w:tblStyle w:val="Mkatabulky"/>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11"/>
        <w:gridCol w:w="6814"/>
      </w:tblGrid>
      <w:tr w:rsidR="00287892" w:rsidRPr="007264DC" w:rsidTr="00287892">
        <w:tc>
          <w:tcPr>
            <w:tcW w:w="1474" w:type="dxa"/>
            <w:gridSpan w:val="2"/>
          </w:tcPr>
          <w:p w:rsidR="00287892" w:rsidRPr="007264DC" w:rsidDel="00103C37" w:rsidRDefault="00287892" w:rsidP="00C72A5E">
            <w:pPr>
              <w:keepNext/>
              <w:spacing w:line="240" w:lineRule="auto"/>
              <w:contextualSpacing/>
              <w:rPr>
                <w:rFonts w:eastAsia="Times New Roman" w:cs="Arial"/>
                <w:spacing w:val="-4"/>
                <w:lang w:eastAsia="x-none"/>
              </w:rPr>
            </w:pPr>
            <w:r w:rsidRPr="007264DC">
              <w:rPr>
                <w:rFonts w:eastAsia="Times New Roman" w:cs="Arial"/>
                <w:spacing w:val="-4"/>
                <w:lang w:eastAsia="x-none"/>
              </w:rPr>
              <w:t>CDCP</w:t>
            </w:r>
          </w:p>
        </w:tc>
        <w:tc>
          <w:tcPr>
            <w:tcW w:w="6814" w:type="dxa"/>
          </w:tcPr>
          <w:p w:rsidR="00287892" w:rsidRPr="007264DC" w:rsidRDefault="00287892" w:rsidP="00C72A5E">
            <w:pPr>
              <w:keepNext/>
              <w:spacing w:line="240" w:lineRule="auto"/>
              <w:contextualSpacing/>
              <w:rPr>
                <w:rFonts w:cs="Arial"/>
                <w:bCs/>
              </w:rPr>
            </w:pPr>
            <w:r w:rsidRPr="007264DC">
              <w:rPr>
                <w:rFonts w:cs="Arial"/>
                <w:bCs/>
              </w:rPr>
              <w:t>Centrální depozitář cenných papírů</w:t>
            </w:r>
          </w:p>
          <w:p w:rsidR="00287892" w:rsidRPr="007264DC" w:rsidRDefault="00287892" w:rsidP="00C72A5E">
            <w:pPr>
              <w:keepNext/>
              <w:spacing w:line="240" w:lineRule="auto"/>
              <w:contextualSpacing/>
              <w:rPr>
                <w:rFonts w:eastAsia="Times New Roman" w:cs="Arial"/>
                <w:spacing w:val="-4"/>
                <w:lang w:eastAsia="x-none"/>
              </w:rPr>
            </w:pPr>
          </w:p>
        </w:tc>
      </w:tr>
      <w:tr w:rsidR="00287892" w:rsidRPr="007264DC" w:rsidTr="00287892">
        <w:tc>
          <w:tcPr>
            <w:tcW w:w="1474" w:type="dxa"/>
            <w:gridSpan w:val="2"/>
          </w:tcPr>
          <w:p w:rsidR="00287892" w:rsidRPr="007264DC" w:rsidDel="00103C37" w:rsidRDefault="00287892" w:rsidP="00C72A5E">
            <w:pPr>
              <w:keepNext/>
              <w:spacing w:line="240" w:lineRule="auto"/>
              <w:contextualSpacing/>
              <w:rPr>
                <w:rFonts w:eastAsia="Times New Roman" w:cs="Arial"/>
                <w:spacing w:val="-4"/>
                <w:lang w:eastAsia="x-none"/>
              </w:rPr>
            </w:pPr>
            <w:r w:rsidRPr="007264DC">
              <w:rPr>
                <w:rFonts w:eastAsia="Times New Roman" w:cs="Arial"/>
                <w:spacing w:val="-4"/>
                <w:lang w:eastAsia="x-none"/>
              </w:rPr>
              <w:t>ČNB</w:t>
            </w:r>
          </w:p>
        </w:tc>
        <w:tc>
          <w:tcPr>
            <w:tcW w:w="6814" w:type="dxa"/>
          </w:tcPr>
          <w:p w:rsidR="00287892" w:rsidRPr="007264DC" w:rsidRDefault="00287892" w:rsidP="00C72A5E">
            <w:pPr>
              <w:keepNext/>
              <w:spacing w:line="240" w:lineRule="auto"/>
              <w:contextualSpacing/>
              <w:rPr>
                <w:rFonts w:cs="Arial"/>
                <w:bCs/>
              </w:rPr>
            </w:pPr>
            <w:r w:rsidRPr="007264DC">
              <w:rPr>
                <w:rFonts w:cs="Arial"/>
                <w:bCs/>
              </w:rPr>
              <w:t>Česká národní banka</w:t>
            </w:r>
          </w:p>
          <w:p w:rsidR="00287892" w:rsidRPr="007264DC" w:rsidRDefault="00287892" w:rsidP="00C72A5E">
            <w:pPr>
              <w:keepNext/>
              <w:spacing w:line="240" w:lineRule="auto"/>
              <w:contextualSpacing/>
              <w:rPr>
                <w:rFonts w:eastAsia="Times New Roman" w:cs="Arial"/>
                <w:spacing w:val="-4"/>
                <w:lang w:eastAsia="x-none"/>
              </w:rPr>
            </w:pPr>
          </w:p>
        </w:tc>
      </w:tr>
      <w:tr w:rsidR="00287892" w:rsidRPr="007264DC" w:rsidTr="00287892">
        <w:tc>
          <w:tcPr>
            <w:tcW w:w="1474" w:type="dxa"/>
            <w:gridSpan w:val="2"/>
          </w:tcPr>
          <w:p w:rsidR="00287892" w:rsidRPr="007264DC" w:rsidDel="00103C37" w:rsidRDefault="00287892" w:rsidP="00C72A5E">
            <w:pPr>
              <w:keepNext/>
              <w:spacing w:line="240" w:lineRule="auto"/>
              <w:contextualSpacing/>
              <w:rPr>
                <w:rFonts w:eastAsia="Times New Roman" w:cs="Arial"/>
                <w:spacing w:val="-4"/>
                <w:lang w:eastAsia="x-none"/>
              </w:rPr>
            </w:pPr>
            <w:r w:rsidRPr="007264DC">
              <w:rPr>
                <w:rFonts w:eastAsia="Times New Roman" w:cs="Arial"/>
                <w:spacing w:val="-4"/>
                <w:lang w:eastAsia="x-none"/>
              </w:rPr>
              <w:t>KIID</w:t>
            </w:r>
          </w:p>
        </w:tc>
        <w:tc>
          <w:tcPr>
            <w:tcW w:w="6814" w:type="dxa"/>
          </w:tcPr>
          <w:p w:rsidR="00287892" w:rsidRPr="007264DC" w:rsidRDefault="00287892" w:rsidP="00C72A5E">
            <w:pPr>
              <w:keepNext/>
              <w:spacing w:line="240" w:lineRule="auto"/>
              <w:contextualSpacing/>
              <w:rPr>
                <w:rFonts w:cs="Arial"/>
                <w:bCs/>
              </w:rPr>
            </w:pPr>
            <w:r w:rsidRPr="007264DC">
              <w:rPr>
                <w:rFonts w:cs="Arial"/>
                <w:bCs/>
              </w:rPr>
              <w:t>Sdělení klíčových informací</w:t>
            </w:r>
          </w:p>
          <w:p w:rsidR="00287892" w:rsidRPr="007264DC" w:rsidRDefault="00287892" w:rsidP="00C72A5E">
            <w:pPr>
              <w:keepNext/>
              <w:spacing w:line="240" w:lineRule="auto"/>
              <w:contextualSpacing/>
              <w:rPr>
                <w:rFonts w:eastAsia="Times New Roman" w:cs="Arial"/>
                <w:spacing w:val="-4"/>
                <w:lang w:eastAsia="x-none"/>
              </w:rPr>
            </w:pPr>
          </w:p>
        </w:tc>
      </w:tr>
      <w:tr w:rsidR="00287892" w:rsidRPr="007264DC" w:rsidTr="00C72A5E">
        <w:tc>
          <w:tcPr>
            <w:tcW w:w="1469" w:type="dxa"/>
            <w:gridSpan w:val="2"/>
          </w:tcPr>
          <w:p w:rsidR="00287892" w:rsidRPr="007264DC" w:rsidDel="00103C37" w:rsidRDefault="00287892" w:rsidP="00C72A5E">
            <w:pPr>
              <w:keepNext/>
              <w:spacing w:line="240" w:lineRule="auto"/>
              <w:contextualSpacing/>
              <w:rPr>
                <w:rFonts w:eastAsia="Times New Roman" w:cs="Arial"/>
                <w:spacing w:val="-4"/>
                <w:lang w:eastAsia="x-none"/>
              </w:rPr>
            </w:pPr>
            <w:r>
              <w:rPr>
                <w:rFonts w:eastAsia="Times New Roman" w:cs="Arial"/>
                <w:spacing w:val="-4"/>
                <w:lang w:eastAsia="x-none"/>
              </w:rPr>
              <w:t xml:space="preserve">nařízení </w:t>
            </w:r>
            <w:proofErr w:type="spellStart"/>
            <w:r w:rsidRPr="007264DC">
              <w:rPr>
                <w:rFonts w:eastAsia="Times New Roman" w:cs="Arial"/>
                <w:spacing w:val="-4"/>
                <w:lang w:eastAsia="x-none"/>
              </w:rPr>
              <w:t>PRIIPs</w:t>
            </w:r>
            <w:proofErr w:type="spellEnd"/>
          </w:p>
        </w:tc>
        <w:tc>
          <w:tcPr>
            <w:tcW w:w="6819" w:type="dxa"/>
          </w:tcPr>
          <w:p w:rsidR="00287892" w:rsidRPr="007264DC" w:rsidRDefault="00287892" w:rsidP="00C72A5E">
            <w:pPr>
              <w:keepNext/>
              <w:spacing w:line="240" w:lineRule="auto"/>
              <w:contextualSpacing/>
              <w:rPr>
                <w:rFonts w:cs="Arial"/>
                <w:bCs/>
              </w:rPr>
            </w:pPr>
            <w:r w:rsidRPr="007264DC">
              <w:rPr>
                <w:rFonts w:cs="Arial"/>
                <w:bCs/>
              </w:rPr>
              <w:t>Nařízení Evropského parlamentu a Rady (EU) č. 1286/2014 ze dne 26. listopadu 2014 o sděleních klíčových informací týkajících se strukturovaných retailových investičních produktů a pojistných produktů s investiční složkou</w:t>
            </w:r>
          </w:p>
          <w:p w:rsidR="00287892" w:rsidRPr="007264DC" w:rsidRDefault="00287892" w:rsidP="00C72A5E">
            <w:pPr>
              <w:keepNext/>
              <w:spacing w:line="240" w:lineRule="auto"/>
              <w:contextualSpacing/>
              <w:rPr>
                <w:rFonts w:eastAsia="Times New Roman" w:cs="Arial"/>
                <w:spacing w:val="-4"/>
                <w:lang w:eastAsia="x-none"/>
              </w:rPr>
            </w:pPr>
          </w:p>
        </w:tc>
      </w:tr>
      <w:tr w:rsidR="00287892" w:rsidRPr="007264DC" w:rsidTr="00287892">
        <w:tc>
          <w:tcPr>
            <w:tcW w:w="1474" w:type="dxa"/>
            <w:gridSpan w:val="2"/>
          </w:tcPr>
          <w:p w:rsidR="00287892" w:rsidRPr="007264DC" w:rsidDel="00103C37" w:rsidRDefault="00287892" w:rsidP="00C72A5E">
            <w:pPr>
              <w:keepNext/>
              <w:spacing w:line="240" w:lineRule="auto"/>
              <w:contextualSpacing/>
              <w:rPr>
                <w:rFonts w:eastAsia="Times New Roman" w:cs="Arial"/>
                <w:spacing w:val="-4"/>
                <w:lang w:eastAsia="x-none"/>
              </w:rPr>
            </w:pPr>
            <w:r w:rsidRPr="007264DC">
              <w:rPr>
                <w:rFonts w:eastAsia="Times New Roman" w:cs="Arial"/>
                <w:spacing w:val="-4"/>
                <w:lang w:eastAsia="x-none"/>
              </w:rPr>
              <w:t>ZoDluh</w:t>
            </w:r>
          </w:p>
        </w:tc>
        <w:tc>
          <w:tcPr>
            <w:tcW w:w="6814" w:type="dxa"/>
          </w:tcPr>
          <w:p w:rsidR="00287892" w:rsidRPr="007264DC" w:rsidRDefault="00287892" w:rsidP="00C72A5E">
            <w:pPr>
              <w:keepNext/>
              <w:spacing w:line="240" w:lineRule="auto"/>
              <w:contextualSpacing/>
              <w:rPr>
                <w:rFonts w:cs="Arial"/>
                <w:bCs/>
              </w:rPr>
            </w:pPr>
            <w:r w:rsidRPr="007264DC">
              <w:rPr>
                <w:rFonts w:cs="Arial"/>
                <w:bCs/>
              </w:rPr>
              <w:t>Zákon č. 190/2004 Sb., o dluhopisech, ve znění pozdějších předpisů</w:t>
            </w:r>
          </w:p>
        </w:tc>
      </w:tr>
      <w:tr w:rsidR="003A47E2" w:rsidRPr="007264DC" w:rsidTr="00287892">
        <w:tc>
          <w:tcPr>
            <w:tcW w:w="1463" w:type="dxa"/>
          </w:tcPr>
          <w:p w:rsidR="003A47E2" w:rsidRPr="007264DC" w:rsidDel="00103C37" w:rsidRDefault="003A47E2" w:rsidP="007264DC">
            <w:pPr>
              <w:keepNext/>
              <w:spacing w:line="240" w:lineRule="auto"/>
              <w:contextualSpacing/>
              <w:rPr>
                <w:rFonts w:eastAsia="Times New Roman" w:cs="Arial"/>
                <w:spacing w:val="-4"/>
                <w:lang w:eastAsia="x-none"/>
              </w:rPr>
            </w:pPr>
            <w:r w:rsidRPr="007264DC">
              <w:rPr>
                <w:rFonts w:eastAsia="Times New Roman" w:cs="Arial"/>
                <w:spacing w:val="-4"/>
                <w:lang w:eastAsia="x-none"/>
              </w:rPr>
              <w:t>ZPKT</w:t>
            </w:r>
          </w:p>
        </w:tc>
        <w:tc>
          <w:tcPr>
            <w:tcW w:w="6825" w:type="dxa"/>
            <w:gridSpan w:val="2"/>
          </w:tcPr>
          <w:p w:rsidR="003A47E2" w:rsidRPr="007264DC" w:rsidRDefault="003A47E2" w:rsidP="007264DC">
            <w:pPr>
              <w:keepNext/>
              <w:spacing w:line="240" w:lineRule="auto"/>
              <w:contextualSpacing/>
              <w:rPr>
                <w:rFonts w:eastAsia="Times New Roman" w:cs="Arial"/>
                <w:spacing w:val="-4"/>
                <w:lang w:eastAsia="x-none"/>
              </w:rPr>
            </w:pPr>
            <w:r w:rsidRPr="007264DC">
              <w:rPr>
                <w:rFonts w:cs="Arial"/>
                <w:bCs/>
              </w:rPr>
              <w:t>Zákon č. 256/2004 Sb., o podnikání na kapitálovém trhu, ve</w:t>
            </w:r>
            <w:r w:rsidR="007264DC">
              <w:rPr>
                <w:rFonts w:cs="Arial"/>
                <w:bCs/>
              </w:rPr>
              <w:t> </w:t>
            </w:r>
            <w:r w:rsidRPr="007264DC">
              <w:rPr>
                <w:rFonts w:cs="Arial"/>
                <w:bCs/>
              </w:rPr>
              <w:t>znění pozdějších předpisů</w:t>
            </w:r>
          </w:p>
        </w:tc>
      </w:tr>
    </w:tbl>
    <w:p w:rsidR="003A47E2" w:rsidRPr="007264DC" w:rsidRDefault="003A47E2" w:rsidP="007264DC">
      <w:pPr>
        <w:keepNext/>
        <w:spacing w:line="240" w:lineRule="auto"/>
        <w:contextualSpacing/>
        <w:rPr>
          <w:rFonts w:eastAsia="Times New Roman" w:cs="Arial"/>
          <w:spacing w:val="-4"/>
          <w:lang w:eastAsia="x-none"/>
        </w:rPr>
      </w:pPr>
    </w:p>
    <w:p w:rsidR="003A47E2" w:rsidRPr="007264DC" w:rsidRDefault="003A47E2" w:rsidP="007264DC">
      <w:pPr>
        <w:keepNext/>
        <w:spacing w:line="240" w:lineRule="auto"/>
        <w:outlineLvl w:val="1"/>
        <w:rPr>
          <w:rFonts w:eastAsia="Times New Roman" w:cs="Arial"/>
          <w:b/>
          <w:bCs/>
          <w:lang w:eastAsia="x-none"/>
        </w:rPr>
      </w:pPr>
      <w:r w:rsidRPr="007264DC">
        <w:rPr>
          <w:rFonts w:eastAsia="Times New Roman" w:cs="Arial"/>
          <w:spacing w:val="-4"/>
          <w:lang w:eastAsia="x-none"/>
        </w:rPr>
        <w:br w:type="page"/>
      </w:r>
      <w:r w:rsidRPr="007264DC">
        <w:rPr>
          <w:rFonts w:eastAsia="Times New Roman" w:cs="Arial"/>
          <w:b/>
          <w:bCs/>
          <w:lang w:eastAsia="x-none"/>
        </w:rPr>
        <w:t>A. Závěrečná zpráva z hodnocení dopadů regulace podle obecných zásad (RIA)</w:t>
      </w:r>
    </w:p>
    <w:p w:rsidR="003A47E2" w:rsidRPr="007264DC" w:rsidRDefault="003A47E2" w:rsidP="007264DC">
      <w:pPr>
        <w:keepNext/>
        <w:spacing w:line="240" w:lineRule="auto"/>
        <w:outlineLvl w:val="1"/>
        <w:rPr>
          <w:rFonts w:eastAsia="Times New Roman" w:cs="Arial"/>
          <w:b/>
          <w:bCs/>
          <w:lang w:eastAsia="x-none"/>
        </w:rPr>
      </w:pPr>
      <w:r w:rsidRPr="007264DC">
        <w:rPr>
          <w:rFonts w:eastAsia="Times New Roman" w:cs="Arial"/>
          <w:b/>
          <w:bCs/>
          <w:lang w:eastAsia="x-none"/>
        </w:rPr>
        <w:t>1. DŮVODY PŘEDLOŽENÍ A CÍLE</w:t>
      </w:r>
    </w:p>
    <w:p w:rsidR="003A47E2" w:rsidRPr="007264DC" w:rsidRDefault="003A47E2" w:rsidP="007264DC">
      <w:pPr>
        <w:keepNext/>
        <w:numPr>
          <w:ilvl w:val="1"/>
          <w:numId w:val="0"/>
        </w:numPr>
        <w:spacing w:line="240" w:lineRule="auto"/>
        <w:ind w:left="360" w:hanging="360"/>
        <w:outlineLvl w:val="2"/>
        <w:rPr>
          <w:rFonts w:eastAsia="Times New Roman" w:cs="Arial"/>
          <w:b/>
          <w:bCs/>
          <w:lang w:eastAsia="x-none"/>
        </w:rPr>
      </w:pPr>
      <w:bookmarkStart w:id="2" w:name="_Toc420486208"/>
      <w:bookmarkStart w:id="3" w:name="_Toc444701031"/>
      <w:r w:rsidRPr="007264DC">
        <w:rPr>
          <w:rFonts w:eastAsia="Times New Roman" w:cs="Arial"/>
          <w:b/>
          <w:bCs/>
          <w:lang w:eastAsia="x-none"/>
        </w:rPr>
        <w:t>1.1 Název</w:t>
      </w:r>
    </w:p>
    <w:p w:rsidR="003A47E2" w:rsidRPr="007264DC" w:rsidRDefault="003A47E2" w:rsidP="007264DC">
      <w:pPr>
        <w:keepNext/>
        <w:numPr>
          <w:ilvl w:val="1"/>
          <w:numId w:val="0"/>
        </w:numPr>
        <w:spacing w:line="240" w:lineRule="auto"/>
        <w:outlineLvl w:val="2"/>
        <w:rPr>
          <w:rFonts w:eastAsia="Times New Roman" w:cs="Arial"/>
          <w:b/>
          <w:bCs/>
          <w:lang w:eastAsia="x-none"/>
        </w:rPr>
      </w:pPr>
      <w:r w:rsidRPr="007264DC">
        <w:rPr>
          <w:rFonts w:cs="Arial"/>
          <w:bCs/>
        </w:rPr>
        <w:t>Návrh zákona, kterým se mění zákon č. 256/2004 Sb., o po</w:t>
      </w:r>
      <w:r w:rsidR="007264DC" w:rsidRPr="007264DC">
        <w:rPr>
          <w:rFonts w:cs="Arial"/>
          <w:bCs/>
        </w:rPr>
        <w:t>dnikání na </w:t>
      </w:r>
      <w:r w:rsidRPr="007264DC">
        <w:rPr>
          <w:rFonts w:cs="Arial"/>
          <w:bCs/>
        </w:rPr>
        <w:t>kapitálovém trhu, ve znění pozdějších předpisů, a další související zákony (dále jen „</w:t>
      </w:r>
      <w:r w:rsidRPr="007264DC">
        <w:rPr>
          <w:rFonts w:cs="Arial"/>
          <w:b/>
          <w:bCs/>
        </w:rPr>
        <w:t>ZPKT</w:t>
      </w:r>
      <w:r w:rsidRPr="007264DC">
        <w:rPr>
          <w:rFonts w:cs="Arial"/>
          <w:bCs/>
        </w:rPr>
        <w:t>“).</w:t>
      </w:r>
    </w:p>
    <w:p w:rsidR="003A47E2" w:rsidRPr="007264DC" w:rsidRDefault="003A47E2" w:rsidP="007264DC">
      <w:pPr>
        <w:keepNext/>
        <w:numPr>
          <w:ilvl w:val="1"/>
          <w:numId w:val="0"/>
        </w:numPr>
        <w:spacing w:line="240" w:lineRule="auto"/>
        <w:ind w:left="360" w:hanging="360"/>
        <w:outlineLvl w:val="2"/>
        <w:rPr>
          <w:rFonts w:eastAsia="Times New Roman" w:cs="Arial"/>
          <w:b/>
          <w:bCs/>
          <w:lang w:eastAsia="x-none"/>
        </w:rPr>
      </w:pPr>
      <w:r w:rsidRPr="007264DC">
        <w:rPr>
          <w:rFonts w:eastAsia="Times New Roman" w:cs="Arial"/>
          <w:b/>
          <w:bCs/>
          <w:lang w:eastAsia="x-none"/>
        </w:rPr>
        <w:t xml:space="preserve">1.2 </w:t>
      </w:r>
      <w:r w:rsidRPr="007264DC">
        <w:rPr>
          <w:rFonts w:eastAsia="Times New Roman" w:cs="Arial"/>
          <w:b/>
          <w:bCs/>
          <w:lang w:val="x-none" w:eastAsia="x-none"/>
        </w:rPr>
        <w:t>Definice problému</w:t>
      </w:r>
      <w:bookmarkEnd w:id="2"/>
      <w:bookmarkEnd w:id="3"/>
    </w:p>
    <w:p w:rsidR="003A47E2" w:rsidRPr="007264DC" w:rsidRDefault="003A47E2" w:rsidP="007264DC">
      <w:pPr>
        <w:keepNext/>
        <w:numPr>
          <w:ilvl w:val="1"/>
          <w:numId w:val="0"/>
        </w:numPr>
        <w:spacing w:line="240" w:lineRule="auto"/>
        <w:ind w:hanging="360"/>
        <w:outlineLvl w:val="2"/>
        <w:rPr>
          <w:rFonts w:cs="Arial"/>
          <w:bCs/>
        </w:rPr>
      </w:pPr>
      <w:bookmarkStart w:id="4" w:name="_Toc420486209"/>
      <w:bookmarkStart w:id="5" w:name="_Toc444701032"/>
      <w:r w:rsidRPr="007264DC">
        <w:rPr>
          <w:rFonts w:cs="Arial"/>
          <w:bCs/>
        </w:rPr>
        <w:t xml:space="preserve">      Dne 30. června 2017 bylo v Úředním věstníku Evropské unie publikováno nařízení Evropského parlamentu a Rady (EU) 2017/1129 ze dne 14. června 2017 o prospektu, který má být uveřejněn při veřejné nabídce nebo přijetí cenných papírů k obchodování na regulovaném trhu, a o zrušení směrnice 2003/71/ES (dále jen </w:t>
      </w:r>
      <w:r w:rsidR="007264DC" w:rsidRPr="007264DC">
        <w:rPr>
          <w:rFonts w:cs="Arial"/>
          <w:bCs/>
        </w:rPr>
        <w:t>„</w:t>
      </w:r>
      <w:r w:rsidRPr="007264DC">
        <w:rPr>
          <w:rFonts w:cs="Arial"/>
          <w:b/>
          <w:bCs/>
        </w:rPr>
        <w:t>nařízení o prospektu</w:t>
      </w:r>
      <w:r w:rsidR="007264DC" w:rsidRPr="007264DC">
        <w:rPr>
          <w:rFonts w:cs="Arial"/>
          <w:b/>
          <w:bCs/>
        </w:rPr>
        <w:t>“</w:t>
      </w:r>
      <w:r w:rsidRPr="007264DC">
        <w:rPr>
          <w:rFonts w:cs="Arial"/>
          <w:bCs/>
        </w:rPr>
        <w:t>). V té souvislosti je potřeba adaptovat český právní řád, konkrétně ZPKT na nařízení o prospektu, které bude účinné ode dne 21. července 2019.</w:t>
      </w:r>
    </w:p>
    <w:p w:rsidR="003A47E2" w:rsidRPr="007264DC" w:rsidRDefault="003A47E2" w:rsidP="007264DC">
      <w:pPr>
        <w:keepNext/>
        <w:numPr>
          <w:ilvl w:val="1"/>
          <w:numId w:val="0"/>
        </w:numPr>
        <w:spacing w:line="240" w:lineRule="auto"/>
        <w:ind w:hanging="360"/>
        <w:outlineLvl w:val="2"/>
        <w:rPr>
          <w:rFonts w:eastAsiaTheme="minorEastAsia" w:cs="Arial"/>
          <w:bCs/>
          <w:lang w:eastAsia="cs-CZ"/>
        </w:rPr>
      </w:pPr>
      <w:r w:rsidRPr="007264DC">
        <w:rPr>
          <w:rFonts w:cs="Arial"/>
          <w:bCs/>
        </w:rPr>
        <w:t xml:space="preserve">      </w:t>
      </w:r>
      <w:r w:rsidRPr="007264DC">
        <w:rPr>
          <w:rFonts w:eastAsia="Times New Roman" w:cs="Arial"/>
          <w:b/>
          <w:bCs/>
          <w:lang w:eastAsia="x-none"/>
        </w:rPr>
        <w:t xml:space="preserve">1.3 </w:t>
      </w:r>
      <w:r w:rsidRPr="007264DC">
        <w:rPr>
          <w:rFonts w:eastAsia="Times New Roman" w:cs="Arial"/>
          <w:b/>
          <w:bCs/>
          <w:lang w:val="x-none" w:eastAsia="x-none"/>
        </w:rPr>
        <w:t>Popis existujícího právního stavu v dané oblasti</w:t>
      </w:r>
      <w:bookmarkEnd w:id="4"/>
      <w:bookmarkEnd w:id="5"/>
    </w:p>
    <w:p w:rsidR="003A47E2" w:rsidRPr="007264DC" w:rsidRDefault="003A47E2" w:rsidP="007264DC">
      <w:pPr>
        <w:keepNext/>
        <w:numPr>
          <w:ilvl w:val="1"/>
          <w:numId w:val="0"/>
        </w:numPr>
        <w:spacing w:line="240" w:lineRule="auto"/>
        <w:outlineLvl w:val="2"/>
        <w:rPr>
          <w:rFonts w:eastAsia="Times New Roman" w:cs="Arial"/>
          <w:bCs/>
          <w:lang w:eastAsia="x-none"/>
        </w:rPr>
      </w:pPr>
      <w:r w:rsidRPr="007264DC">
        <w:rPr>
          <w:rFonts w:eastAsia="Times New Roman" w:cs="Arial"/>
          <w:bCs/>
          <w:lang w:eastAsia="x-none"/>
        </w:rPr>
        <w:t xml:space="preserve">Nařízení o prospektu ruší směrnici </w:t>
      </w:r>
      <w:r w:rsidRPr="007264DC">
        <w:rPr>
          <w:rFonts w:cs="Arial"/>
          <w:bCs/>
        </w:rPr>
        <w:t xml:space="preserve">2003/71/ES, která je v českém právním transponována zejména v § 34 až 36m ZPKT. Vzhledem k nahrazení této směrnice nařízením EU, u kterého se uplatní zásada aplikační přednosti a bezprostřední použitelnosti, není žádoucí i právní úprava téže problematiky v ZPKT. Předkladatel v tomto směru tedy půjde cestou zrušení předmětných ustanovení, která by byla s nařízením duplicitní či by se vzájemně vylučovala. </w:t>
      </w:r>
    </w:p>
    <w:p w:rsidR="003A47E2" w:rsidRPr="007264DC" w:rsidRDefault="003A47E2" w:rsidP="007264DC">
      <w:pPr>
        <w:keepNext/>
        <w:numPr>
          <w:ilvl w:val="1"/>
          <w:numId w:val="0"/>
        </w:numPr>
        <w:spacing w:line="240" w:lineRule="auto"/>
        <w:ind w:left="360" w:hanging="360"/>
        <w:outlineLvl w:val="2"/>
        <w:rPr>
          <w:rFonts w:eastAsia="Times New Roman" w:cs="Arial"/>
          <w:b/>
          <w:bCs/>
          <w:lang w:eastAsia="x-none"/>
        </w:rPr>
      </w:pPr>
      <w:bookmarkStart w:id="6" w:name="_Toc444610700"/>
      <w:bookmarkStart w:id="7" w:name="_Toc444611198"/>
      <w:bookmarkStart w:id="8" w:name="_Toc444611521"/>
      <w:bookmarkStart w:id="9" w:name="_Toc444611646"/>
      <w:bookmarkStart w:id="10" w:name="_Toc444611860"/>
      <w:bookmarkStart w:id="11" w:name="_Toc420486210"/>
      <w:bookmarkStart w:id="12" w:name="_Toc444701033"/>
      <w:bookmarkEnd w:id="6"/>
      <w:bookmarkEnd w:id="7"/>
      <w:bookmarkEnd w:id="8"/>
      <w:bookmarkEnd w:id="9"/>
      <w:bookmarkEnd w:id="10"/>
      <w:r w:rsidRPr="007264DC">
        <w:rPr>
          <w:rFonts w:eastAsia="Times New Roman" w:cs="Arial"/>
          <w:b/>
          <w:bCs/>
          <w:lang w:eastAsia="x-none"/>
        </w:rPr>
        <w:t xml:space="preserve">1.4 </w:t>
      </w:r>
      <w:r w:rsidRPr="007264DC">
        <w:rPr>
          <w:rFonts w:eastAsia="Times New Roman" w:cs="Arial"/>
          <w:b/>
          <w:bCs/>
          <w:lang w:val="x-none" w:eastAsia="x-none"/>
        </w:rPr>
        <w:t>Identifikace dotčených subjektů</w:t>
      </w:r>
      <w:bookmarkEnd w:id="11"/>
      <w:bookmarkEnd w:id="12"/>
    </w:p>
    <w:p w:rsidR="003A47E2" w:rsidRPr="007264DC" w:rsidRDefault="003A47E2" w:rsidP="007264DC">
      <w:pPr>
        <w:keepNext/>
        <w:spacing w:line="240" w:lineRule="auto"/>
        <w:outlineLvl w:val="0"/>
        <w:rPr>
          <w:rFonts w:cs="Arial"/>
          <w:bCs/>
          <w:iCs/>
        </w:rPr>
      </w:pPr>
      <w:bookmarkStart w:id="13" w:name="_Toc433189084"/>
      <w:bookmarkStart w:id="14" w:name="_Toc433189089"/>
      <w:bookmarkStart w:id="15" w:name="_Toc420486211"/>
      <w:bookmarkStart w:id="16" w:name="_Toc444701034"/>
      <w:bookmarkEnd w:id="13"/>
      <w:bookmarkEnd w:id="14"/>
      <w:r w:rsidRPr="007264DC">
        <w:rPr>
          <w:rFonts w:cs="Arial"/>
          <w:bCs/>
          <w:iCs/>
        </w:rPr>
        <w:t>Dotčenými subjekty jsou zejména (při zachování statutu quo):</w:t>
      </w:r>
    </w:p>
    <w:p w:rsidR="003A47E2" w:rsidRPr="007264DC" w:rsidRDefault="003A47E2" w:rsidP="007264DC">
      <w:pPr>
        <w:pStyle w:val="Odstavecseseznamem"/>
        <w:keepNext/>
        <w:numPr>
          <w:ilvl w:val="0"/>
          <w:numId w:val="35"/>
        </w:numPr>
        <w:spacing w:before="120" w:after="120" w:line="240" w:lineRule="auto"/>
        <w:jc w:val="both"/>
        <w:outlineLvl w:val="0"/>
        <w:rPr>
          <w:rFonts w:ascii="Arial" w:hAnsi="Arial" w:cs="Arial"/>
          <w:bCs/>
          <w:iCs/>
          <w:sz w:val="24"/>
          <w:szCs w:val="24"/>
        </w:rPr>
      </w:pPr>
      <w:r w:rsidRPr="007264DC">
        <w:rPr>
          <w:rFonts w:ascii="Arial" w:hAnsi="Arial" w:cs="Arial"/>
          <w:bCs/>
          <w:iCs/>
          <w:sz w:val="24"/>
          <w:szCs w:val="24"/>
        </w:rPr>
        <w:t>Emitenti cenných papírů</w:t>
      </w:r>
    </w:p>
    <w:p w:rsidR="003A47E2" w:rsidRPr="007264DC" w:rsidRDefault="003A47E2" w:rsidP="007264DC">
      <w:pPr>
        <w:pStyle w:val="Odstavecseseznamem"/>
        <w:keepNext/>
        <w:numPr>
          <w:ilvl w:val="0"/>
          <w:numId w:val="35"/>
        </w:numPr>
        <w:spacing w:before="120" w:after="120" w:line="240" w:lineRule="auto"/>
        <w:jc w:val="both"/>
        <w:outlineLvl w:val="0"/>
        <w:rPr>
          <w:rFonts w:ascii="Arial" w:hAnsi="Arial" w:cs="Arial"/>
          <w:bCs/>
          <w:iCs/>
          <w:sz w:val="24"/>
          <w:szCs w:val="24"/>
        </w:rPr>
      </w:pPr>
      <w:r w:rsidRPr="007264DC">
        <w:rPr>
          <w:rFonts w:ascii="Arial" w:hAnsi="Arial" w:cs="Arial"/>
          <w:bCs/>
          <w:iCs/>
          <w:sz w:val="24"/>
          <w:szCs w:val="24"/>
        </w:rPr>
        <w:t>Investoři</w:t>
      </w:r>
    </w:p>
    <w:p w:rsidR="003A47E2" w:rsidRPr="007264DC" w:rsidRDefault="003A47E2" w:rsidP="007264DC">
      <w:pPr>
        <w:pStyle w:val="Odstavecseseznamem"/>
        <w:keepNext/>
        <w:numPr>
          <w:ilvl w:val="0"/>
          <w:numId w:val="35"/>
        </w:numPr>
        <w:spacing w:before="120" w:after="120" w:line="240" w:lineRule="auto"/>
        <w:jc w:val="both"/>
        <w:outlineLvl w:val="0"/>
        <w:rPr>
          <w:rFonts w:ascii="Arial" w:hAnsi="Arial" w:cs="Arial"/>
          <w:bCs/>
          <w:iCs/>
          <w:sz w:val="24"/>
          <w:szCs w:val="24"/>
        </w:rPr>
      </w:pPr>
      <w:r w:rsidRPr="007264DC">
        <w:rPr>
          <w:rFonts w:ascii="Arial" w:hAnsi="Arial" w:cs="Arial"/>
          <w:bCs/>
          <w:iCs/>
          <w:sz w:val="24"/>
          <w:szCs w:val="24"/>
        </w:rPr>
        <w:t>Česká národní banka jako orgán dohledu.</w:t>
      </w:r>
    </w:p>
    <w:p w:rsidR="003A47E2" w:rsidRPr="007264DC" w:rsidRDefault="003A47E2" w:rsidP="007264DC">
      <w:pPr>
        <w:keepNext/>
        <w:numPr>
          <w:ilvl w:val="1"/>
          <w:numId w:val="0"/>
        </w:numPr>
        <w:spacing w:line="240" w:lineRule="auto"/>
        <w:ind w:left="360" w:hanging="360"/>
        <w:outlineLvl w:val="2"/>
        <w:rPr>
          <w:rFonts w:eastAsia="Times New Roman" w:cs="Arial"/>
          <w:b/>
          <w:bCs/>
          <w:lang w:eastAsia="x-none"/>
        </w:rPr>
      </w:pPr>
      <w:r w:rsidRPr="007264DC">
        <w:rPr>
          <w:rFonts w:eastAsia="Times New Roman" w:cs="Arial"/>
          <w:b/>
          <w:bCs/>
          <w:lang w:eastAsia="x-none"/>
        </w:rPr>
        <w:t xml:space="preserve">1.5 </w:t>
      </w:r>
      <w:r w:rsidRPr="007264DC">
        <w:rPr>
          <w:rFonts w:eastAsia="Times New Roman" w:cs="Arial"/>
          <w:b/>
          <w:bCs/>
          <w:lang w:val="x-none" w:eastAsia="x-none"/>
        </w:rPr>
        <w:t>Popis cílového stavu</w:t>
      </w:r>
      <w:bookmarkEnd w:id="15"/>
      <w:bookmarkEnd w:id="16"/>
    </w:p>
    <w:p w:rsidR="003A47E2" w:rsidRPr="007264DC" w:rsidRDefault="003A47E2" w:rsidP="007264DC">
      <w:pPr>
        <w:keepNext/>
        <w:numPr>
          <w:ilvl w:val="1"/>
          <w:numId w:val="0"/>
        </w:numPr>
        <w:spacing w:line="240" w:lineRule="auto"/>
        <w:outlineLvl w:val="2"/>
        <w:rPr>
          <w:rFonts w:eastAsia="Calibri" w:cs="Arial"/>
        </w:rPr>
      </w:pPr>
      <w:bookmarkStart w:id="17" w:name="_Toc433189091"/>
      <w:bookmarkStart w:id="18" w:name="_Toc420486212"/>
      <w:bookmarkStart w:id="19" w:name="_Toc444701035"/>
      <w:bookmarkEnd w:id="17"/>
      <w:r w:rsidRPr="007264DC">
        <w:rPr>
          <w:rFonts w:cs="Arial"/>
          <w:bCs/>
        </w:rPr>
        <w:t>Hlavním cílem tohoto návrhu je adapt</w:t>
      </w:r>
      <w:r w:rsidR="007264DC">
        <w:rPr>
          <w:rFonts w:cs="Arial"/>
          <w:bCs/>
        </w:rPr>
        <w:t>ace právního řádu na nařízení o </w:t>
      </w:r>
      <w:r w:rsidRPr="007264DC">
        <w:rPr>
          <w:rFonts w:cs="Arial"/>
          <w:bCs/>
        </w:rPr>
        <w:t>prospektu.</w:t>
      </w:r>
    </w:p>
    <w:p w:rsidR="003A47E2" w:rsidRPr="007264DC" w:rsidRDefault="003A47E2" w:rsidP="007264DC">
      <w:pPr>
        <w:keepNext/>
        <w:numPr>
          <w:ilvl w:val="1"/>
          <w:numId w:val="0"/>
        </w:numPr>
        <w:spacing w:line="240" w:lineRule="auto"/>
        <w:outlineLvl w:val="2"/>
        <w:rPr>
          <w:rFonts w:eastAsia="Times New Roman" w:cs="Arial"/>
          <w:b/>
          <w:bCs/>
          <w:lang w:eastAsia="x-none"/>
        </w:rPr>
      </w:pPr>
      <w:r w:rsidRPr="007264DC">
        <w:rPr>
          <w:rFonts w:eastAsia="Times New Roman" w:cs="Arial"/>
          <w:b/>
          <w:bCs/>
          <w:lang w:eastAsia="x-none"/>
        </w:rPr>
        <w:t xml:space="preserve">1.6 </w:t>
      </w:r>
      <w:r w:rsidRPr="007264DC">
        <w:rPr>
          <w:rFonts w:eastAsia="Times New Roman" w:cs="Arial"/>
          <w:b/>
          <w:bCs/>
          <w:lang w:val="x-none" w:eastAsia="x-none"/>
        </w:rPr>
        <w:t>Zhodnocení rizika</w:t>
      </w:r>
      <w:bookmarkEnd w:id="18"/>
      <w:bookmarkEnd w:id="19"/>
    </w:p>
    <w:p w:rsidR="003A47E2" w:rsidRPr="007264DC" w:rsidRDefault="003A47E2" w:rsidP="007264DC">
      <w:pPr>
        <w:keepNext/>
        <w:numPr>
          <w:ilvl w:val="1"/>
          <w:numId w:val="0"/>
        </w:numPr>
        <w:spacing w:line="240" w:lineRule="auto"/>
        <w:outlineLvl w:val="2"/>
        <w:rPr>
          <w:rFonts w:eastAsia="Calibri" w:cs="Arial"/>
        </w:rPr>
      </w:pPr>
      <w:r w:rsidRPr="007264DC">
        <w:rPr>
          <w:rFonts w:eastAsia="Calibri" w:cs="Arial"/>
        </w:rPr>
        <w:t>Navrhovaná právní úprava si klade za cíl ad</w:t>
      </w:r>
      <w:r w:rsidR="00287892">
        <w:rPr>
          <w:rFonts w:eastAsia="Calibri" w:cs="Arial"/>
        </w:rPr>
        <w:t xml:space="preserve">aptovat ZPKT na nařízení </w:t>
      </w:r>
      <w:r w:rsidR="007264DC">
        <w:rPr>
          <w:rFonts w:eastAsia="Calibri" w:cs="Arial"/>
        </w:rPr>
        <w:t>o </w:t>
      </w:r>
      <w:r w:rsidRPr="007264DC">
        <w:rPr>
          <w:rFonts w:eastAsia="Calibri" w:cs="Arial"/>
        </w:rPr>
        <w:t>prospektu. Právními předpisy České republiky jakožto členského státu EU je zajišťováno přizpůsobení právního řádu ustanovením zakládacích smluv a nařízením EU. Nepřizpůsobením právního řádu by se Česká republika vystavovala riziku porušení závazků z Evropské unie.</w:t>
      </w:r>
    </w:p>
    <w:p w:rsidR="003A47E2" w:rsidRPr="007264DC" w:rsidRDefault="003A47E2" w:rsidP="007264DC">
      <w:pPr>
        <w:keepNext/>
        <w:spacing w:line="240" w:lineRule="auto"/>
        <w:rPr>
          <w:rFonts w:eastAsia="Times New Roman" w:cs="Arial"/>
          <w:b/>
          <w:bCs/>
          <w:lang w:eastAsia="x-none"/>
        </w:rPr>
      </w:pPr>
      <w:r w:rsidRPr="007264DC">
        <w:rPr>
          <w:rFonts w:eastAsia="Times New Roman" w:cs="Arial"/>
          <w:b/>
          <w:bCs/>
          <w:lang w:eastAsia="x-none"/>
        </w:rPr>
        <w:t>2. NÁVRH VARIANT ŘEŠENÍ</w:t>
      </w:r>
    </w:p>
    <w:p w:rsidR="003A47E2" w:rsidRPr="007264DC" w:rsidRDefault="003A47E2" w:rsidP="007264DC">
      <w:pPr>
        <w:keepNext/>
        <w:spacing w:line="240" w:lineRule="auto"/>
        <w:rPr>
          <w:rFonts w:eastAsia="Times New Roman" w:cs="Arial"/>
          <w:b/>
        </w:rPr>
      </w:pPr>
      <w:r w:rsidRPr="007264DC">
        <w:rPr>
          <w:rFonts w:eastAsia="Times New Roman" w:cs="Arial"/>
          <w:b/>
        </w:rPr>
        <w:t>Legenda k hodnocení variant a návrhů řešení</w:t>
      </w:r>
    </w:p>
    <w:p w:rsidR="003A47E2" w:rsidRPr="007264DC" w:rsidRDefault="003A47E2" w:rsidP="007264DC">
      <w:pPr>
        <w:keepNext/>
        <w:spacing w:line="240" w:lineRule="auto"/>
        <w:rPr>
          <w:rFonts w:eastAsia="Times New Roman" w:cs="Arial"/>
          <w:b/>
        </w:rPr>
      </w:pPr>
      <w:r w:rsidRPr="007264DC">
        <w:rPr>
          <w:rFonts w:eastAsia="Calibri" w:cs="Arial"/>
        </w:rPr>
        <w:t>Při hodnocení konzultací byla stanovena čtyři všeobecná průřezová kritéria:</w:t>
      </w:r>
    </w:p>
    <w:p w:rsidR="003A47E2" w:rsidRPr="007264DC" w:rsidRDefault="003A47E2" w:rsidP="007264DC">
      <w:pPr>
        <w:keepNext/>
        <w:numPr>
          <w:ilvl w:val="0"/>
          <w:numId w:val="34"/>
        </w:numPr>
        <w:spacing w:line="240" w:lineRule="auto"/>
        <w:outlineLvl w:val="0"/>
        <w:rPr>
          <w:rFonts w:eastAsia="Calibri" w:cs="Arial"/>
        </w:rPr>
      </w:pPr>
      <w:r w:rsidRPr="007264DC">
        <w:rPr>
          <w:rFonts w:eastAsia="Calibri" w:cs="Arial"/>
        </w:rPr>
        <w:t>atraktivita České republiky v rámci potencionálního působení účastníků kapitálových trhů v komparaci s ostatními státy Evropské unie</w:t>
      </w:r>
    </w:p>
    <w:p w:rsidR="003A47E2" w:rsidRPr="007264DC" w:rsidRDefault="003A47E2" w:rsidP="007264DC">
      <w:pPr>
        <w:keepNext/>
        <w:numPr>
          <w:ilvl w:val="0"/>
          <w:numId w:val="34"/>
        </w:numPr>
        <w:spacing w:line="240" w:lineRule="auto"/>
        <w:outlineLvl w:val="0"/>
        <w:rPr>
          <w:rFonts w:eastAsia="Calibri" w:cs="Arial"/>
        </w:rPr>
      </w:pPr>
      <w:r w:rsidRPr="007264DC">
        <w:rPr>
          <w:rFonts w:eastAsia="Calibri" w:cs="Arial"/>
        </w:rPr>
        <w:t xml:space="preserve">kontinuita regulatorního rámce jako hledisko předvídatelnosti a </w:t>
      </w:r>
      <w:proofErr w:type="spellStart"/>
      <w:r w:rsidRPr="007264DC">
        <w:rPr>
          <w:rFonts w:eastAsia="Calibri" w:cs="Arial"/>
        </w:rPr>
        <w:t>seznatelnosti</w:t>
      </w:r>
      <w:proofErr w:type="spellEnd"/>
      <w:r w:rsidRPr="007264DC">
        <w:rPr>
          <w:rFonts w:eastAsia="Calibri" w:cs="Arial"/>
        </w:rPr>
        <w:t xml:space="preserve"> právního řádu v České republice</w:t>
      </w:r>
    </w:p>
    <w:p w:rsidR="003A47E2" w:rsidRPr="007264DC" w:rsidRDefault="003A47E2" w:rsidP="007264DC">
      <w:pPr>
        <w:keepNext/>
        <w:numPr>
          <w:ilvl w:val="0"/>
          <w:numId w:val="34"/>
        </w:numPr>
        <w:spacing w:line="240" w:lineRule="auto"/>
        <w:outlineLvl w:val="0"/>
        <w:rPr>
          <w:rFonts w:eastAsia="Calibri" w:cs="Arial"/>
        </w:rPr>
      </w:pPr>
      <w:r w:rsidRPr="007264DC">
        <w:rPr>
          <w:rFonts w:eastAsia="Calibri" w:cs="Arial"/>
        </w:rPr>
        <w:t>ochrana investora jako jedno ze stěžejních hledisek funkce práva</w:t>
      </w:r>
    </w:p>
    <w:p w:rsidR="003A47E2" w:rsidRPr="007264DC" w:rsidRDefault="003A47E2" w:rsidP="007264DC">
      <w:pPr>
        <w:keepNext/>
        <w:numPr>
          <w:ilvl w:val="0"/>
          <w:numId w:val="34"/>
        </w:numPr>
        <w:spacing w:line="240" w:lineRule="auto"/>
        <w:outlineLvl w:val="0"/>
        <w:rPr>
          <w:rFonts w:eastAsia="Calibri" w:cs="Arial"/>
        </w:rPr>
      </w:pPr>
      <w:r w:rsidRPr="007264DC">
        <w:rPr>
          <w:rFonts w:eastAsia="Calibri" w:cs="Arial"/>
        </w:rPr>
        <w:t>rozvoj trhu jako nutná ekonomicko-sociálně-kulturní podmínka rozvoje a konkurenceschopnosti České republiky</w:t>
      </w:r>
    </w:p>
    <w:p w:rsidR="003A47E2" w:rsidRPr="007264DC" w:rsidRDefault="003A47E2" w:rsidP="007264DC">
      <w:pPr>
        <w:keepNext/>
        <w:numPr>
          <w:ilvl w:val="0"/>
          <w:numId w:val="34"/>
        </w:numPr>
        <w:spacing w:line="240" w:lineRule="auto"/>
        <w:outlineLvl w:val="0"/>
        <w:rPr>
          <w:rFonts w:eastAsia="Calibri" w:cs="Arial"/>
        </w:rPr>
      </w:pPr>
      <w:r w:rsidRPr="007264DC">
        <w:rPr>
          <w:rFonts w:eastAsia="Calibri" w:cs="Arial"/>
        </w:rPr>
        <w:t>vynaložení nákladů</w:t>
      </w:r>
    </w:p>
    <w:p w:rsidR="003A47E2" w:rsidRPr="007264DC" w:rsidRDefault="003A47E2" w:rsidP="007264DC">
      <w:pPr>
        <w:keepNext/>
        <w:spacing w:line="240" w:lineRule="auto"/>
        <w:outlineLvl w:val="0"/>
        <w:rPr>
          <w:rFonts w:eastAsia="Calibri" w:cs="Arial"/>
        </w:rPr>
      </w:pPr>
    </w:p>
    <w:p w:rsidR="00B0677E" w:rsidRPr="007264DC" w:rsidRDefault="003A47E2" w:rsidP="007264DC">
      <w:pPr>
        <w:keepNext/>
        <w:spacing w:line="240" w:lineRule="auto"/>
        <w:rPr>
          <w:rFonts w:eastAsia="Times New Roman" w:cs="Arial"/>
          <w:b/>
          <w:bCs/>
          <w:lang w:eastAsia="x-none"/>
        </w:rPr>
      </w:pPr>
      <w:r w:rsidRPr="007264DC">
        <w:rPr>
          <w:rFonts w:eastAsia="Times New Roman" w:cs="Arial"/>
          <w:b/>
          <w:bCs/>
          <w:lang w:eastAsia="x-none"/>
        </w:rPr>
        <w:t>2.1 Limit pro výjimku z povinnosti uveřejnit prospekt</w:t>
      </w:r>
    </w:p>
    <w:p w:rsidR="00B0677E" w:rsidRPr="007264DC" w:rsidRDefault="00B0677E" w:rsidP="007264DC">
      <w:pPr>
        <w:keepNext/>
        <w:spacing w:before="240" w:line="240" w:lineRule="auto"/>
        <w:rPr>
          <w:rFonts w:eastAsia="Times New Roman" w:cs="Arial"/>
          <w:b/>
          <w:spacing w:val="-4"/>
          <w:lang w:eastAsia="cs-CZ"/>
        </w:rPr>
      </w:pPr>
      <w:r w:rsidRPr="007264DC">
        <w:rPr>
          <w:rFonts w:eastAsia="Times New Roman" w:cs="Arial"/>
          <w:b/>
          <w:spacing w:val="-4"/>
          <w:lang w:eastAsia="cs-CZ"/>
        </w:rPr>
        <w:t>Možnost navýšení</w:t>
      </w:r>
      <w:r w:rsidRPr="007264DC">
        <w:rPr>
          <w:rFonts w:eastAsiaTheme="minorEastAsia" w:cs="Arial"/>
          <w:lang w:eastAsia="cs-CZ"/>
        </w:rPr>
        <w:t xml:space="preserve"> </w:t>
      </w:r>
      <w:r w:rsidRPr="007264DC">
        <w:rPr>
          <w:rFonts w:eastAsia="Times New Roman" w:cs="Arial"/>
          <w:b/>
          <w:spacing w:val="-4"/>
          <w:lang w:eastAsia="cs-CZ"/>
        </w:rPr>
        <w:t>stávající hranice pro výjimku z povinnosti vyhotovit prospekt z 1 mil. EUR až na 8 mil. EUR</w:t>
      </w:r>
    </w:p>
    <w:p w:rsidR="00B0677E" w:rsidRPr="007264DC" w:rsidRDefault="00B067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Aktuální úprava prospektu je na úrovni EU obsa</w:t>
      </w:r>
      <w:r w:rsidR="007264DC">
        <w:rPr>
          <w:rFonts w:eastAsia="Times New Roman" w:cs="Arial"/>
          <w:spacing w:val="-4"/>
          <w:lang w:eastAsia="cs-CZ"/>
        </w:rPr>
        <w:t>žena zejména ve směrnici (EU) o </w:t>
      </w:r>
      <w:r w:rsidRPr="007264DC">
        <w:rPr>
          <w:rFonts w:eastAsia="Times New Roman" w:cs="Arial"/>
          <w:spacing w:val="-4"/>
          <w:lang w:eastAsia="cs-CZ"/>
        </w:rPr>
        <w:t>prospektu, která je od března 2006 transponována v § 34 až 36m a v § 57 ZPKT a od července 2011 též v nařízení vlády č. 190/2011 Sb., kterým se stanoví limity některých částek v eurech, pokud jde o úpravu veřejné nabídky investičních cenných papírů, prospektu cenného papíru a informačních povinností emitenta některých investičních cenných papírů a dalších osob. Směrnice (EU) o prospektu je dále doplněna prováděcím nařízením Evropské komise č. 809/2004.</w:t>
      </w:r>
    </w:p>
    <w:p w:rsidR="00B0677E" w:rsidRPr="007264DC" w:rsidRDefault="00B067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Výjimka z povinnosti uveřejnit prospekt je upravena v čl. 3 odst. 2 písm. e) směrnice (EU) o prospektu, kde se zakazuje vyžadovat prospekt při nabídkách v</w:t>
      </w:r>
      <w:r w:rsidR="007264DC">
        <w:rPr>
          <w:rFonts w:eastAsia="Times New Roman" w:cs="Arial"/>
          <w:spacing w:val="-4"/>
          <w:lang w:eastAsia="cs-CZ"/>
        </w:rPr>
        <w:t> </w:t>
      </w:r>
      <w:r w:rsidRPr="007264DC">
        <w:rPr>
          <w:rFonts w:eastAsia="Times New Roman" w:cs="Arial"/>
          <w:spacing w:val="-4"/>
          <w:lang w:eastAsia="cs-CZ"/>
        </w:rPr>
        <w:t>celkové hodnotě protiplnění do 100 tis. EUR za 1</w:t>
      </w:r>
      <w:r w:rsidR="007264DC">
        <w:rPr>
          <w:rFonts w:eastAsia="Times New Roman" w:cs="Arial"/>
          <w:spacing w:val="-4"/>
          <w:lang w:eastAsia="cs-CZ"/>
        </w:rPr>
        <w:t>2 měsíců. V čl. 1 odst. 2 písm. </w:t>
      </w:r>
      <w:r w:rsidRPr="007264DC">
        <w:rPr>
          <w:rFonts w:eastAsia="Times New Roman" w:cs="Arial"/>
          <w:spacing w:val="-4"/>
          <w:lang w:eastAsia="cs-CZ"/>
        </w:rPr>
        <w:t>h) směrnice (EU) o prospektu pak byl</w:t>
      </w:r>
      <w:r w:rsidR="007264DC">
        <w:rPr>
          <w:rFonts w:eastAsia="Times New Roman" w:cs="Arial"/>
          <w:spacing w:val="-4"/>
          <w:lang w:eastAsia="cs-CZ"/>
        </w:rPr>
        <w:t>o stanoveno, že směrnice (EU) o </w:t>
      </w:r>
      <w:r w:rsidRPr="007264DC">
        <w:rPr>
          <w:rFonts w:eastAsia="Times New Roman" w:cs="Arial"/>
          <w:spacing w:val="-4"/>
          <w:lang w:eastAsia="cs-CZ"/>
        </w:rPr>
        <w:t>prospektu se nevztahuje na nabídky s hodnotou protiplnění do 2,5 mil. EUR, což bylo novelou č. 2010/73/EU zvýšeno na 5 mil. EUR. V této souvislosti byla novelou zák. č. 188/2011 Sb. částka v § 34 odst. 4 písm. g) ZPKT zvýšena z původních 200 tis. EUR na 1 mil. EUR, přičemž emise nepřesahující limit stanovený členským státem (max. 5 mil. EUR) se uskutečňují v rámci tzv. národního režimu (</w:t>
      </w:r>
      <w:proofErr w:type="spellStart"/>
      <w:r w:rsidRPr="007264DC">
        <w:rPr>
          <w:rFonts w:eastAsia="Times New Roman" w:cs="Arial"/>
          <w:spacing w:val="-4"/>
          <w:lang w:eastAsia="cs-CZ"/>
        </w:rPr>
        <w:t>goldplating</w:t>
      </w:r>
      <w:proofErr w:type="spellEnd"/>
      <w:r w:rsidRPr="007264DC">
        <w:rPr>
          <w:rFonts w:eastAsia="Times New Roman" w:cs="Arial"/>
          <w:spacing w:val="-4"/>
          <w:lang w:eastAsia="cs-CZ"/>
        </w:rPr>
        <w:t xml:space="preserve">), kdy se dobrovolně rozšiřuje působnost směrnice (EU) o prospektu nad rámec její povinné transpozice. </w:t>
      </w:r>
    </w:p>
    <w:p w:rsidR="00B0677E" w:rsidRDefault="00B0677E" w:rsidP="007264DC">
      <w:pPr>
        <w:keepNext/>
        <w:spacing w:before="0" w:after="0" w:line="240" w:lineRule="auto"/>
        <w:rPr>
          <w:rFonts w:eastAsia="Times New Roman" w:cs="Arial"/>
          <w:b/>
          <w:spacing w:val="-4"/>
          <w:lang w:eastAsia="cs-CZ"/>
        </w:rPr>
      </w:pPr>
      <w:r w:rsidRPr="007264DC">
        <w:rPr>
          <w:rFonts w:eastAsia="Times New Roman" w:cs="Arial"/>
          <w:spacing w:val="-4"/>
          <w:lang w:eastAsia="cs-CZ"/>
        </w:rPr>
        <w:t xml:space="preserve">V novém nařízení o prospektu se na výše uvedenou divergenci mezi členskými státy EU reaguje tak, že se dolní hranice limitu v čl. 1 odst. 3 nařízení o prospektu zvyšuje na 1 mil. EUR (údajně z důvodu podpory rozvoje </w:t>
      </w:r>
      <w:proofErr w:type="spellStart"/>
      <w:r w:rsidRPr="007264DC">
        <w:rPr>
          <w:rFonts w:eastAsia="Times New Roman" w:cs="Arial"/>
          <w:spacing w:val="-4"/>
          <w:lang w:eastAsia="cs-CZ"/>
        </w:rPr>
        <w:t>crowdfundingu</w:t>
      </w:r>
      <w:proofErr w:type="spellEnd"/>
      <w:r w:rsidRPr="007264DC">
        <w:rPr>
          <w:rFonts w:eastAsia="Times New Roman" w:cs="Arial"/>
          <w:spacing w:val="-4"/>
          <w:lang w:eastAsia="cs-CZ"/>
        </w:rPr>
        <w:t xml:space="preserve"> a neúměrně vysokým nákladům u malých emisí). Horní hranici si mohou členské státy EU dle čl. 3 odst. 2 nařízení o prospektu stanovit a</w:t>
      </w:r>
      <w:r w:rsidR="00BA1D97">
        <w:rPr>
          <w:rFonts w:eastAsia="Times New Roman" w:cs="Arial"/>
          <w:spacing w:val="-4"/>
          <w:lang w:eastAsia="cs-CZ"/>
        </w:rPr>
        <w:t>ž do </w:t>
      </w:r>
      <w:r w:rsidRPr="007264DC">
        <w:rPr>
          <w:rFonts w:eastAsia="Times New Roman" w:cs="Arial"/>
          <w:spacing w:val="-4"/>
          <w:lang w:eastAsia="cs-CZ"/>
        </w:rPr>
        <w:t>výše 8 mil. EUR (nicméně bez možnosti využívat v takovém případě evropský pas). Pokud Česká republika zachová hranici 1 mil. EUR, bude po 19. červenci 2019 patřit mezi státy s nejvíce protekcionistickým režimem. Na druhou stranu není v tuto chvíli známo, jak se k této diskreci jednotlivé členské státy postaví, lze ale očekávat, že státy, které již dnes aplikují výjimku na emise nad 1 mil. EUR, nebudou tuto hranici snižovat a spíše budou zvažovat její zvýšení. Proto je potřeba se odpovědně zabývat otázkou, zda stávající hranici pro tuto výjimku nezvýšit, např. na 2, 3, 5 nebo 8 mil. EUR.</w:t>
      </w:r>
      <w:r w:rsidRPr="007264DC">
        <w:rPr>
          <w:rFonts w:eastAsia="Times New Roman" w:cs="Arial"/>
          <w:b/>
          <w:spacing w:val="-4"/>
          <w:lang w:eastAsia="cs-CZ"/>
        </w:rPr>
        <w:t xml:space="preserve"> </w:t>
      </w:r>
    </w:p>
    <w:p w:rsidR="007264DC" w:rsidRPr="007264DC" w:rsidRDefault="007264DC" w:rsidP="007264DC">
      <w:pPr>
        <w:keepNext/>
        <w:spacing w:before="0" w:after="0" w:line="240" w:lineRule="auto"/>
        <w:rPr>
          <w:rFonts w:eastAsia="Times New Roman" w:cs="Arial"/>
          <w:spacing w:val="-4"/>
          <w:lang w:eastAsia="cs-CZ"/>
        </w:rPr>
      </w:pPr>
    </w:p>
    <w:p w:rsidR="00B0677E" w:rsidRPr="007264DC" w:rsidRDefault="00B0677E" w:rsidP="007264DC">
      <w:pPr>
        <w:keepNext/>
        <w:spacing w:line="240" w:lineRule="auto"/>
        <w:rPr>
          <w:rFonts w:eastAsia="Times New Roman" w:cs="Arial"/>
          <w:b/>
          <w:spacing w:val="-4"/>
          <w:lang w:eastAsia="cs-CZ"/>
        </w:rPr>
      </w:pPr>
      <w:r w:rsidRPr="007264DC">
        <w:rPr>
          <w:rFonts w:eastAsia="Times New Roman" w:cs="Arial"/>
          <w:b/>
          <w:spacing w:val="-4"/>
          <w:lang w:eastAsia="cs-CZ"/>
        </w:rPr>
        <w:t>Platná právní úprava</w:t>
      </w:r>
    </w:p>
    <w:p w:rsidR="00B0677E" w:rsidRPr="007264DC" w:rsidRDefault="00B067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Stávající právní úprava stanovuje hranici pro výjimku z povinnosti uveřejnit prospekt ve výši1 mil. EUR. </w:t>
      </w:r>
    </w:p>
    <w:p w:rsidR="00B0677E" w:rsidRPr="007264DC" w:rsidRDefault="00B0677E" w:rsidP="007264DC">
      <w:pPr>
        <w:keepNext/>
        <w:spacing w:line="240" w:lineRule="auto"/>
        <w:rPr>
          <w:rFonts w:eastAsia="Times New Roman" w:cs="Arial"/>
          <w:b/>
          <w:spacing w:val="-4"/>
          <w:lang w:eastAsia="cs-CZ"/>
        </w:rPr>
      </w:pPr>
      <w:r w:rsidRPr="007264DC">
        <w:rPr>
          <w:rFonts w:eastAsia="Times New Roman" w:cs="Arial"/>
          <w:b/>
          <w:spacing w:val="-4"/>
          <w:lang w:eastAsia="cs-CZ"/>
        </w:rPr>
        <w:t>Návrh variant řešení</w:t>
      </w:r>
    </w:p>
    <w:p w:rsidR="00B0677E" w:rsidRPr="007264DC" w:rsidRDefault="00B0677E" w:rsidP="007264DC">
      <w:pPr>
        <w:keepNext/>
        <w:spacing w:line="240" w:lineRule="auto"/>
        <w:rPr>
          <w:rFonts w:eastAsia="Times New Roman" w:cs="Arial"/>
          <w:spacing w:val="-4"/>
          <w:lang w:eastAsia="cs-CZ"/>
        </w:rPr>
      </w:pPr>
      <w:r w:rsidRPr="007264DC">
        <w:rPr>
          <w:rFonts w:eastAsia="Times New Roman" w:cs="Arial"/>
          <w:spacing w:val="-4"/>
          <w:lang w:eastAsia="cs-CZ"/>
        </w:rPr>
        <w:t>Jsou zvažovány 2 varianty řešení:</w:t>
      </w:r>
    </w:p>
    <w:p w:rsidR="00B0677E" w:rsidRPr="007264DC" w:rsidRDefault="00B0677E" w:rsidP="007264DC">
      <w:pPr>
        <w:keepNext/>
        <w:numPr>
          <w:ilvl w:val="0"/>
          <w:numId w:val="36"/>
        </w:numPr>
        <w:spacing w:line="240" w:lineRule="auto"/>
        <w:ind w:left="714" w:hanging="357"/>
        <w:contextualSpacing/>
        <w:rPr>
          <w:rFonts w:eastAsia="Times New Roman" w:cs="Arial"/>
          <w:spacing w:val="-4"/>
          <w:lang w:eastAsia="cs-CZ"/>
        </w:rPr>
      </w:pPr>
      <w:r w:rsidRPr="007264DC">
        <w:rPr>
          <w:rFonts w:eastAsia="Times New Roman" w:cs="Arial"/>
          <w:spacing w:val="-4"/>
          <w:lang w:eastAsia="cs-CZ"/>
        </w:rPr>
        <w:t>varianta 0 - ponechat stávající hranici pro výjimku z povinnosti uveřejnit prospekt ve výši 1 mil. EUR</w:t>
      </w:r>
    </w:p>
    <w:p w:rsidR="00B0677E" w:rsidRPr="007264DC" w:rsidRDefault="00B0677E" w:rsidP="007264DC">
      <w:pPr>
        <w:numPr>
          <w:ilvl w:val="0"/>
          <w:numId w:val="36"/>
        </w:numPr>
        <w:spacing w:line="240" w:lineRule="auto"/>
        <w:ind w:left="714" w:hanging="357"/>
        <w:contextualSpacing/>
        <w:rPr>
          <w:rFonts w:eastAsia="Times New Roman" w:cs="Arial"/>
          <w:spacing w:val="-4"/>
          <w:lang w:eastAsia="cs-CZ"/>
        </w:rPr>
      </w:pPr>
      <w:r w:rsidRPr="007264DC">
        <w:rPr>
          <w:rFonts w:eastAsia="Times New Roman" w:cs="Arial"/>
          <w:spacing w:val="-4"/>
          <w:lang w:eastAsia="cs-CZ"/>
        </w:rPr>
        <w:t>varianta 1 – navýšit stávající hranici pro výjimku z povinnosti uveřejnit prospekt např. na 2, 3, 5 nebo 8 mil. EUR</w:t>
      </w:r>
    </w:p>
    <w:p w:rsidR="00B0677E" w:rsidRPr="007264DC" w:rsidRDefault="00B0677E" w:rsidP="007264DC">
      <w:pPr>
        <w:spacing w:line="240" w:lineRule="auto"/>
        <w:jc w:val="left"/>
        <w:rPr>
          <w:rFonts w:eastAsia="Times New Roman" w:cs="Arial"/>
          <w:spacing w:val="-4"/>
          <w:lang w:eastAsia="cs-CZ"/>
        </w:rPr>
      </w:pPr>
      <w:r w:rsidRPr="007264DC">
        <w:rPr>
          <w:rFonts w:eastAsia="Times New Roman" w:cs="Arial"/>
          <w:b/>
          <w:spacing w:val="-4"/>
          <w:lang w:eastAsia="cs-CZ"/>
        </w:rPr>
        <w:t>Varianta 0 - ponechat stávající hranici pro výjimku z povinnosti uveřejnit prospekt ve výši 1 mil. EUR</w:t>
      </w:r>
    </w:p>
    <w:p w:rsidR="00B0677E" w:rsidRPr="007264DC" w:rsidRDefault="00B0677E" w:rsidP="007264DC">
      <w:pPr>
        <w:spacing w:before="0" w:after="0" w:line="240" w:lineRule="auto"/>
        <w:rPr>
          <w:rFonts w:eastAsia="Times New Roman" w:cs="Arial"/>
          <w:spacing w:val="-4"/>
          <w:lang w:eastAsia="cs-CZ"/>
        </w:rPr>
      </w:pPr>
      <w:r w:rsidRPr="007264DC">
        <w:rPr>
          <w:rFonts w:eastAsia="Times New Roman" w:cs="Arial"/>
          <w:spacing w:val="-4"/>
          <w:lang w:eastAsia="cs-CZ"/>
        </w:rPr>
        <w:t xml:space="preserve">Při stanovení optimální hranice pro výjimku z povinnosti uveřejnit prospekt je třeba brát v úvahu atraktivitu právní úpravy pro potenciální emitenty na straně jedné a úroveň ochrany drobných (retailových) investorů na straně druhé. </w:t>
      </w:r>
    </w:p>
    <w:p w:rsidR="00B0677E" w:rsidRPr="007264DC" w:rsidRDefault="00B0677E" w:rsidP="007264DC">
      <w:pPr>
        <w:spacing w:before="0" w:after="0" w:line="240" w:lineRule="auto"/>
        <w:rPr>
          <w:rFonts w:eastAsia="Times New Roman" w:cs="Arial"/>
          <w:spacing w:val="-4"/>
          <w:lang w:eastAsia="cs-CZ"/>
        </w:rPr>
      </w:pPr>
      <w:r w:rsidRPr="007264DC">
        <w:rPr>
          <w:rFonts w:eastAsia="Times New Roman" w:cs="Arial"/>
          <w:spacing w:val="-4"/>
          <w:lang w:eastAsia="cs-CZ"/>
        </w:rPr>
        <w:t>V prvním případě je třeba identifikovat minimální ho</w:t>
      </w:r>
      <w:r w:rsidR="007264DC">
        <w:rPr>
          <w:rFonts w:eastAsia="Times New Roman" w:cs="Arial"/>
          <w:spacing w:val="-4"/>
          <w:lang w:eastAsia="cs-CZ"/>
        </w:rPr>
        <w:t>dnotu emise, při níž náklady na </w:t>
      </w:r>
      <w:r w:rsidRPr="007264DC">
        <w:rPr>
          <w:rFonts w:eastAsia="Times New Roman" w:cs="Arial"/>
          <w:spacing w:val="-4"/>
          <w:lang w:eastAsia="cs-CZ"/>
        </w:rPr>
        <w:t>vyhotovení prospektu netvoří překážku samotné emisi. Dle aktuálně dostupných informací lze v České republice vyhotovit prospekt cca za 10 tis. EUR,</w:t>
      </w:r>
      <w:r w:rsidRPr="007264DC">
        <w:rPr>
          <w:rFonts w:eastAsiaTheme="minorEastAsia" w:cs="Arial"/>
          <w:lang w:eastAsia="cs-CZ"/>
        </w:rPr>
        <w:t xml:space="preserve"> </w:t>
      </w:r>
      <w:r w:rsidRPr="007264DC">
        <w:rPr>
          <w:rFonts w:eastAsia="Times New Roman" w:cs="Arial"/>
          <w:spacing w:val="-4"/>
          <w:lang w:eastAsia="cs-CZ"/>
        </w:rPr>
        <w:t>což při emisi v hodnotě 1 mil. EUR představuje náklady ve výši 1 % z hodnoty emise. I emisi dluhopisů v celkové hodnotě protiplnění nad 1 mil. EUR lze však veřejně nabízet bez prospektu, jsou-li splněny jiné důležité výjimky, například nominální hodnota nad 100 tis. EUR, anebo nabízení méně než 149 drobným (retailovým) investorům (tzv. private placement). Z pohledu nákladů na vyhotovení prospektu je třeba rovněž vzít v potaz tzv. unijní prospekt pro růst (</w:t>
      </w:r>
      <w:r w:rsidRPr="007264DC">
        <w:rPr>
          <w:rFonts w:eastAsia="Times New Roman" w:cs="Arial"/>
          <w:i/>
          <w:spacing w:val="-4"/>
          <w:lang w:eastAsia="cs-CZ"/>
        </w:rPr>
        <w:t xml:space="preserve">EU </w:t>
      </w:r>
      <w:proofErr w:type="spellStart"/>
      <w:r w:rsidRPr="007264DC">
        <w:rPr>
          <w:rFonts w:eastAsia="Times New Roman" w:cs="Arial"/>
          <w:i/>
          <w:spacing w:val="-4"/>
          <w:lang w:eastAsia="cs-CZ"/>
        </w:rPr>
        <w:t>Growth</w:t>
      </w:r>
      <w:proofErr w:type="spellEnd"/>
      <w:r w:rsidRPr="007264DC">
        <w:rPr>
          <w:rFonts w:eastAsia="Times New Roman" w:cs="Arial"/>
          <w:i/>
          <w:spacing w:val="-4"/>
          <w:lang w:eastAsia="cs-CZ"/>
        </w:rPr>
        <w:t xml:space="preserve"> </w:t>
      </w:r>
      <w:proofErr w:type="spellStart"/>
      <w:r w:rsidRPr="007264DC">
        <w:rPr>
          <w:rFonts w:eastAsia="Times New Roman" w:cs="Arial"/>
          <w:i/>
          <w:spacing w:val="-4"/>
          <w:lang w:eastAsia="cs-CZ"/>
        </w:rPr>
        <w:t>Prospectus</w:t>
      </w:r>
      <w:proofErr w:type="spellEnd"/>
      <w:r w:rsidRPr="007264DC">
        <w:rPr>
          <w:rFonts w:eastAsia="Times New Roman" w:cs="Arial"/>
          <w:spacing w:val="-4"/>
          <w:lang w:eastAsia="cs-CZ"/>
        </w:rPr>
        <w:t xml:space="preserve">) upravený v čl. 15 nařízení o prospektu. Má se jednat </w:t>
      </w:r>
      <w:r w:rsidR="007264DC">
        <w:rPr>
          <w:rFonts w:eastAsia="Times New Roman" w:cs="Arial"/>
          <w:spacing w:val="-4"/>
          <w:lang w:eastAsia="cs-CZ"/>
        </w:rPr>
        <w:t>o </w:t>
      </w:r>
      <w:r w:rsidRPr="007264DC">
        <w:rPr>
          <w:rFonts w:eastAsia="Times New Roman" w:cs="Arial"/>
          <w:spacing w:val="-4"/>
          <w:lang w:eastAsia="cs-CZ"/>
        </w:rPr>
        <w:t>zjednodušený prospekt pro menší emitenty, který lze mimo ji</w:t>
      </w:r>
      <w:r w:rsidR="00287892">
        <w:rPr>
          <w:rFonts w:eastAsia="Times New Roman" w:cs="Arial"/>
          <w:spacing w:val="-4"/>
          <w:lang w:eastAsia="cs-CZ"/>
        </w:rPr>
        <w:t>né využít pro emise dluhopisů v </w:t>
      </w:r>
      <w:r w:rsidRPr="007264DC">
        <w:rPr>
          <w:rFonts w:eastAsia="Times New Roman" w:cs="Arial"/>
          <w:spacing w:val="-4"/>
          <w:lang w:eastAsia="cs-CZ"/>
        </w:rPr>
        <w:t xml:space="preserve">hodnotě protiplnění nižší než 20 mil. EUR. Jde však o nový právní režim, který ještě není odzkoušený </w:t>
      </w:r>
      <w:proofErr w:type="gramStart"/>
      <w:r w:rsidRPr="007264DC">
        <w:rPr>
          <w:rFonts w:eastAsia="Times New Roman" w:cs="Arial"/>
          <w:spacing w:val="-4"/>
          <w:lang w:eastAsia="cs-CZ"/>
        </w:rPr>
        <w:t>praxí a kvůli</w:t>
      </w:r>
      <w:proofErr w:type="gramEnd"/>
      <w:r w:rsidRPr="007264DC">
        <w:rPr>
          <w:rFonts w:eastAsia="Times New Roman" w:cs="Arial"/>
          <w:spacing w:val="-4"/>
          <w:lang w:eastAsia="cs-CZ"/>
        </w:rPr>
        <w:t xml:space="preserve"> dosud n</w:t>
      </w:r>
      <w:r w:rsidR="00287892">
        <w:rPr>
          <w:rFonts w:eastAsia="Times New Roman" w:cs="Arial"/>
          <w:spacing w:val="-4"/>
          <w:lang w:eastAsia="cs-CZ"/>
        </w:rPr>
        <w:t>evydaným prováděcím předpisům k </w:t>
      </w:r>
      <w:r w:rsidRPr="007264DC">
        <w:rPr>
          <w:rFonts w:eastAsia="Times New Roman" w:cs="Arial"/>
          <w:spacing w:val="-4"/>
          <w:lang w:eastAsia="cs-CZ"/>
        </w:rPr>
        <w:t>nařízení o prospektu nejsou známy jeho detaily. Nicméně cílem má být, aby vyhotovení takového typu prospektu bylo výrazně levnější.</w:t>
      </w:r>
    </w:p>
    <w:p w:rsidR="00B0677E" w:rsidRPr="007264DC" w:rsidRDefault="00B0677E" w:rsidP="007264DC">
      <w:pPr>
        <w:spacing w:before="0" w:after="0" w:line="240" w:lineRule="auto"/>
        <w:rPr>
          <w:rFonts w:eastAsia="Times New Roman" w:cs="Arial"/>
          <w:spacing w:val="-4"/>
          <w:lang w:eastAsia="cs-CZ"/>
        </w:rPr>
      </w:pPr>
      <w:r w:rsidRPr="007264DC">
        <w:rPr>
          <w:rFonts w:eastAsia="Times New Roman" w:cs="Arial"/>
          <w:spacing w:val="-4"/>
          <w:lang w:eastAsia="cs-CZ"/>
        </w:rPr>
        <w:t>V druhém případě je nutné zohlednit, že prospekt představuje</w:t>
      </w:r>
      <w:r w:rsidRPr="007264DC">
        <w:rPr>
          <w:rFonts w:eastAsiaTheme="minorEastAsia" w:cs="Arial"/>
          <w:lang w:eastAsia="cs-CZ"/>
        </w:rPr>
        <w:t xml:space="preserve"> </w:t>
      </w:r>
      <w:r w:rsidRPr="007264DC">
        <w:rPr>
          <w:rFonts w:eastAsia="Times New Roman" w:cs="Arial"/>
          <w:spacing w:val="-4"/>
          <w:lang w:eastAsia="cs-CZ"/>
        </w:rPr>
        <w:t>ochranu drobných (retailových) investorů (resp. spotřebitelů), i když spíše nepřímou, neboť s ohledem na délku a komplikovanost prospektu nelze předpokládat, že by jej drobní (retailoví) investoři podrobně četli. Nicméně i pro drobné (retailové) investory je jistě výhodou to, že se mohou na informace uvedené v prospektu spolehnout, což mimo jiné i snižuje informační asymetrii.</w:t>
      </w:r>
    </w:p>
    <w:p w:rsidR="00B0677E" w:rsidRPr="007264DC" w:rsidRDefault="00B0677E" w:rsidP="007264DC">
      <w:pPr>
        <w:spacing w:before="0" w:after="0" w:line="240" w:lineRule="auto"/>
        <w:rPr>
          <w:rFonts w:eastAsia="Times New Roman" w:cs="Arial"/>
          <w:spacing w:val="-4"/>
          <w:lang w:eastAsia="cs-CZ"/>
        </w:rPr>
      </w:pPr>
      <w:r w:rsidRPr="007264DC">
        <w:rPr>
          <w:rFonts w:eastAsia="Times New Roman" w:cs="Arial"/>
          <w:spacing w:val="-4"/>
          <w:lang w:eastAsia="cs-CZ"/>
        </w:rPr>
        <w:t>Zachování hranice</w:t>
      </w:r>
      <w:r w:rsidRPr="007264DC">
        <w:rPr>
          <w:rFonts w:eastAsiaTheme="minorEastAsia" w:cs="Arial"/>
          <w:lang w:eastAsia="cs-CZ"/>
        </w:rPr>
        <w:t xml:space="preserve"> </w:t>
      </w:r>
      <w:r w:rsidRPr="007264DC">
        <w:rPr>
          <w:rFonts w:eastAsia="Times New Roman" w:cs="Arial"/>
          <w:spacing w:val="-4"/>
          <w:lang w:eastAsia="cs-CZ"/>
        </w:rPr>
        <w:t xml:space="preserve">ve výši 1 mil. EUR by znamenalo, že toto řešení se ukázalo být vhodným kompromisem mezi výše uvedenými zájmy, byť je možné, že se s navýšením maximální hranice pro výjimku z povinnosti uveřejnit </w:t>
      </w:r>
      <w:r w:rsidR="007264DC">
        <w:rPr>
          <w:rFonts w:eastAsia="Times New Roman" w:cs="Arial"/>
          <w:spacing w:val="-4"/>
          <w:lang w:eastAsia="cs-CZ"/>
        </w:rPr>
        <w:t>prospekt na 8 </w:t>
      </w:r>
      <w:r w:rsidRPr="007264DC">
        <w:rPr>
          <w:rFonts w:eastAsia="Times New Roman" w:cs="Arial"/>
          <w:spacing w:val="-4"/>
          <w:lang w:eastAsia="cs-CZ"/>
        </w:rPr>
        <w:t>mil. EUR a následné potenciální liberalizace v této otázce se ČR může přesunout do konzervativní části spektra členských států.</w:t>
      </w:r>
    </w:p>
    <w:p w:rsidR="00B0677E" w:rsidRPr="007264DC" w:rsidRDefault="00B0677E" w:rsidP="007264DC">
      <w:pPr>
        <w:keepNext/>
        <w:spacing w:before="0" w:after="0" w:line="240" w:lineRule="auto"/>
        <w:rPr>
          <w:rFonts w:eastAsia="Times New Roman" w:cs="Arial"/>
          <w:spacing w:val="-4"/>
          <w:lang w:eastAsia="cs-CZ"/>
        </w:rPr>
      </w:pPr>
    </w:p>
    <w:tbl>
      <w:tblPr>
        <w:tblpPr w:leftFromText="141" w:rightFromText="141" w:vertAnchor="text" w:horzAnchor="margin" w:tblpY="118"/>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83"/>
        <w:gridCol w:w="4531"/>
      </w:tblGrid>
      <w:tr w:rsidR="00B0677E" w:rsidRPr="007264DC" w:rsidTr="00671B7E">
        <w:trPr>
          <w:trHeight w:val="1239"/>
        </w:trPr>
        <w:tc>
          <w:tcPr>
            <w:tcW w:w="4428" w:type="dxa"/>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Aspekt</w:t>
            </w:r>
          </w:p>
        </w:tc>
        <w:tc>
          <w:tcPr>
            <w:tcW w:w="4860" w:type="dxa"/>
            <w:tcBorders>
              <w:top w:val="nil"/>
            </w:tcBorders>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Důsledek</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bl>
    <w:p w:rsidR="00B0677E" w:rsidRPr="007264DC" w:rsidRDefault="00B0677E" w:rsidP="007264DC">
      <w:pPr>
        <w:keepNext/>
        <w:spacing w:line="240" w:lineRule="auto"/>
        <w:rPr>
          <w:rFonts w:eastAsia="Times New Roman" w:cs="Arial"/>
          <w:b/>
          <w:spacing w:val="-4"/>
          <w:lang w:eastAsia="cs-CZ"/>
        </w:rPr>
      </w:pPr>
      <w:r w:rsidRPr="007264DC">
        <w:rPr>
          <w:rFonts w:eastAsia="Times New Roman" w:cs="Arial"/>
          <w:b/>
          <w:spacing w:val="-4"/>
          <w:lang w:eastAsia="cs-CZ"/>
        </w:rPr>
        <w:t>Varianta 1 - navýšit stávající hranici pro výjimku z povinnosti uveřejnit prospekt např. na 2, 3, 5 nebo 8 mil. EUR</w:t>
      </w:r>
    </w:p>
    <w:p w:rsidR="00B0677E" w:rsidRPr="007264DC" w:rsidRDefault="00B0677E" w:rsidP="007264DC">
      <w:pPr>
        <w:spacing w:before="0" w:after="0" w:line="240" w:lineRule="auto"/>
        <w:rPr>
          <w:rFonts w:eastAsia="Times New Roman" w:cs="Arial"/>
          <w:spacing w:val="-4"/>
          <w:lang w:eastAsia="cs-CZ"/>
        </w:rPr>
      </w:pPr>
      <w:r w:rsidRPr="007264DC">
        <w:rPr>
          <w:rFonts w:eastAsia="Times New Roman" w:cs="Arial"/>
          <w:spacing w:val="-4"/>
          <w:lang w:eastAsia="cs-CZ"/>
        </w:rPr>
        <w:t>Při navýšení hranice pro výjimku z povinnosti uveřejnit prospekt je třeba znovu posuzovat rovnováhu mezi atraktivitou právní úpr</w:t>
      </w:r>
      <w:r w:rsidR="007264DC">
        <w:rPr>
          <w:rFonts w:eastAsia="Times New Roman" w:cs="Arial"/>
          <w:spacing w:val="-4"/>
          <w:lang w:eastAsia="cs-CZ"/>
        </w:rPr>
        <w:t>avy pro potenciální emitenty na </w:t>
      </w:r>
      <w:r w:rsidRPr="007264DC">
        <w:rPr>
          <w:rFonts w:eastAsia="Times New Roman" w:cs="Arial"/>
          <w:spacing w:val="-4"/>
          <w:lang w:eastAsia="cs-CZ"/>
        </w:rPr>
        <w:t>straně jedné a úrovní ochrany drobných (retailových) investorů na straně druhé. Je zřejmé, že pří navýšení hranice dochází k vychýlení ve prospěch investorů.</w:t>
      </w:r>
    </w:p>
    <w:p w:rsidR="00B0677E" w:rsidRPr="007264DC" w:rsidRDefault="00B0677E" w:rsidP="007264DC">
      <w:pPr>
        <w:spacing w:before="0" w:after="0" w:line="240" w:lineRule="auto"/>
        <w:rPr>
          <w:rFonts w:eastAsia="Times New Roman" w:cs="Arial"/>
          <w:spacing w:val="-4"/>
          <w:lang w:eastAsia="cs-CZ"/>
        </w:rPr>
      </w:pPr>
      <w:r w:rsidRPr="007264DC">
        <w:rPr>
          <w:rFonts w:eastAsia="Times New Roman" w:cs="Arial"/>
          <w:spacing w:val="-4"/>
          <w:lang w:eastAsia="cs-CZ"/>
        </w:rPr>
        <w:t>S ohledem na skutečnost, že vyhotovení prospektu se začíná vyplácet při emisích nad 50 mil. Kč (cca 2 mil. EUR), mohlo by takové navýšení hranice přinést více emisí dluhopisů v hodnotě mezi 1-2 mil. EUR, pro jejichž potenciální emitenty představuje dosavadní hranice znatelnou bariéru. Do těchto nových emisí by mohli následně investovat drobní (retailoví) investoři.</w:t>
      </w:r>
    </w:p>
    <w:tbl>
      <w:tblPr>
        <w:tblpPr w:leftFromText="141" w:rightFromText="141" w:vertAnchor="text" w:horzAnchor="margin" w:tblpY="54"/>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83"/>
        <w:gridCol w:w="4531"/>
      </w:tblGrid>
      <w:tr w:rsidR="00B0677E" w:rsidRPr="007264DC" w:rsidTr="00671B7E">
        <w:trPr>
          <w:trHeight w:val="1239"/>
        </w:trPr>
        <w:tc>
          <w:tcPr>
            <w:tcW w:w="4428" w:type="dxa"/>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Aspekt</w:t>
            </w:r>
          </w:p>
        </w:tc>
        <w:tc>
          <w:tcPr>
            <w:tcW w:w="4860" w:type="dxa"/>
            <w:tcBorders>
              <w:top w:val="nil"/>
            </w:tcBorders>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Důsledek</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zvýšena</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změněna (evoluce)</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snížena</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zvýšen</w:t>
            </w:r>
          </w:p>
        </w:tc>
      </w:tr>
    </w:tbl>
    <w:p w:rsidR="00B0677E" w:rsidRPr="007264DC" w:rsidRDefault="00B0677E" w:rsidP="007264DC">
      <w:pPr>
        <w:keepNext/>
        <w:spacing w:line="240" w:lineRule="auto"/>
        <w:rPr>
          <w:rFonts w:eastAsia="Times New Roman" w:cs="Arial"/>
          <w:b/>
          <w:spacing w:val="-4"/>
          <w:lang w:eastAsia="cs-CZ"/>
        </w:rPr>
      </w:pPr>
      <w:r w:rsidRPr="007264DC">
        <w:rPr>
          <w:rFonts w:eastAsia="Times New Roman" w:cs="Arial"/>
          <w:b/>
          <w:spacing w:val="-4"/>
          <w:lang w:eastAsia="cs-CZ"/>
        </w:rPr>
        <w:t>Návrh nejvhodnějšího řešení</w:t>
      </w:r>
    </w:p>
    <w:p w:rsidR="00B0677E" w:rsidRPr="007264DC" w:rsidRDefault="00B0677E" w:rsidP="007264DC">
      <w:pPr>
        <w:keepNext/>
        <w:spacing w:line="240" w:lineRule="auto"/>
        <w:rPr>
          <w:rFonts w:eastAsia="Times New Roman" w:cs="Arial"/>
          <w:spacing w:val="-4"/>
          <w:lang w:eastAsia="cs-CZ"/>
        </w:rPr>
      </w:pPr>
      <w:r w:rsidRPr="007264DC">
        <w:rPr>
          <w:rFonts w:eastAsia="Times New Roman" w:cs="Arial"/>
          <w:spacing w:val="-4"/>
          <w:lang w:eastAsia="cs-CZ"/>
        </w:rPr>
        <w:t>Navrhuje se využití varianty 0, tedy zachování stá</w:t>
      </w:r>
      <w:r w:rsidR="00BA1D97">
        <w:rPr>
          <w:rFonts w:eastAsia="Times New Roman" w:cs="Arial"/>
          <w:spacing w:val="-4"/>
          <w:lang w:eastAsia="cs-CZ"/>
        </w:rPr>
        <w:t>vajícího stavu, který byl co do </w:t>
      </w:r>
      <w:r w:rsidRPr="007264DC">
        <w:rPr>
          <w:rFonts w:eastAsia="Times New Roman" w:cs="Arial"/>
          <w:spacing w:val="-4"/>
          <w:lang w:eastAsia="cs-CZ"/>
        </w:rPr>
        <w:t>zájmů emitentů a investorů shledán účastníky konzu</w:t>
      </w:r>
      <w:r w:rsidR="007264DC">
        <w:rPr>
          <w:rFonts w:eastAsia="Times New Roman" w:cs="Arial"/>
          <w:spacing w:val="-4"/>
          <w:lang w:eastAsia="cs-CZ"/>
        </w:rPr>
        <w:t>ltace jako ideální kompromis. I </w:t>
      </w:r>
      <w:r w:rsidRPr="007264DC">
        <w:rPr>
          <w:rFonts w:eastAsia="Times New Roman" w:cs="Arial"/>
          <w:spacing w:val="-4"/>
          <w:lang w:eastAsia="cs-CZ"/>
        </w:rPr>
        <w:t xml:space="preserve">z hlediska investičního </w:t>
      </w:r>
      <w:proofErr w:type="spellStart"/>
      <w:r w:rsidRPr="007264DC">
        <w:rPr>
          <w:rFonts w:eastAsia="Times New Roman" w:cs="Arial"/>
          <w:spacing w:val="-4"/>
          <w:lang w:eastAsia="cs-CZ"/>
        </w:rPr>
        <w:t>crowdfundingu</w:t>
      </w:r>
      <w:proofErr w:type="spellEnd"/>
      <w:r w:rsidRPr="007264DC">
        <w:rPr>
          <w:rFonts w:eastAsia="Times New Roman" w:cs="Arial"/>
          <w:spacing w:val="-4"/>
          <w:lang w:eastAsia="cs-CZ"/>
        </w:rPr>
        <w:t xml:space="preserve"> (představovaného v České republice primárně platformou </w:t>
      </w:r>
      <w:proofErr w:type="spellStart"/>
      <w:r w:rsidRPr="007264DC">
        <w:rPr>
          <w:rFonts w:eastAsia="Times New Roman" w:cs="Arial"/>
          <w:spacing w:val="-4"/>
          <w:lang w:eastAsia="cs-CZ"/>
        </w:rPr>
        <w:t>Fundlift</w:t>
      </w:r>
      <w:proofErr w:type="spellEnd"/>
      <w:r w:rsidRPr="007264DC">
        <w:rPr>
          <w:rFonts w:eastAsia="Times New Roman" w:cs="Arial"/>
          <w:spacing w:val="-4"/>
          <w:lang w:eastAsia="cs-CZ"/>
        </w:rPr>
        <w:t xml:space="preserve">) se zdá být aktuální hranice prozatím dostatečná, kdy z 24 úspěšně </w:t>
      </w:r>
      <w:proofErr w:type="spellStart"/>
      <w:r w:rsidRPr="007264DC">
        <w:rPr>
          <w:rFonts w:eastAsia="Times New Roman" w:cs="Arial"/>
          <w:spacing w:val="-4"/>
          <w:lang w:eastAsia="cs-CZ"/>
        </w:rPr>
        <w:t>zafinancovaných</w:t>
      </w:r>
      <w:proofErr w:type="spellEnd"/>
      <w:r w:rsidRPr="007264DC">
        <w:rPr>
          <w:rFonts w:eastAsia="Times New Roman" w:cs="Arial"/>
          <w:spacing w:val="-4"/>
          <w:lang w:eastAsia="cs-CZ"/>
        </w:rPr>
        <w:t xml:space="preserve"> transakcí se dosažená částka pohybovala v rozmezí od 1 mil. Kč do cca 8 mil. Kč (otázkou však je, zda to není dáno povahou emitentů, kteří aktuálně tuto možnost financování využívají). </w:t>
      </w:r>
    </w:p>
    <w:p w:rsidR="00B0677E" w:rsidRPr="007264DC" w:rsidRDefault="00B0677E" w:rsidP="007264DC">
      <w:pPr>
        <w:keepNext/>
        <w:spacing w:line="240" w:lineRule="auto"/>
        <w:rPr>
          <w:rFonts w:eastAsia="Calibri" w:cs="Arial"/>
          <w:b/>
          <w:lang w:eastAsia="x-none"/>
        </w:rPr>
      </w:pPr>
      <w:r w:rsidRPr="007264DC">
        <w:rPr>
          <w:rFonts w:eastAsia="Calibri" w:cs="Arial"/>
          <w:b/>
          <w:lang w:eastAsia="x-none"/>
        </w:rPr>
        <w:t>Vy</w:t>
      </w:r>
      <w:r w:rsidRPr="007264DC">
        <w:rPr>
          <w:rFonts w:eastAsia="Calibri" w:cs="Arial"/>
          <w:b/>
          <w:lang w:val="x-none" w:eastAsia="x-none"/>
        </w:rPr>
        <w:t xml:space="preserve">hodnocení zvoleného řešení </w:t>
      </w:r>
      <w:r w:rsidRPr="007264DC">
        <w:rPr>
          <w:rFonts w:eastAsia="Calibri" w:cs="Arial"/>
          <w:b/>
          <w:lang w:eastAsia="x-none"/>
        </w:rPr>
        <w:t>z hlediska přínosů a nákladů</w:t>
      </w:r>
    </w:p>
    <w:tbl>
      <w:tblPr>
        <w:tblpPr w:leftFromText="141" w:rightFromText="141" w:vertAnchor="text" w:horzAnchor="margin" w:tblpY="146"/>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59"/>
        <w:gridCol w:w="4555"/>
      </w:tblGrid>
      <w:tr w:rsidR="00B0677E" w:rsidRPr="007264DC" w:rsidTr="00671B7E">
        <w:trPr>
          <w:trHeight w:val="454"/>
        </w:trPr>
        <w:tc>
          <w:tcPr>
            <w:tcW w:w="4428" w:type="dxa"/>
            <w:vMerge w:val="restart"/>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Dopad</w:t>
            </w:r>
          </w:p>
        </w:tc>
        <w:tc>
          <w:tcPr>
            <w:tcW w:w="4860" w:type="dxa"/>
            <w:tcBorders>
              <w:top w:val="nil"/>
              <w:bottom w:val="single" w:sz="18" w:space="0" w:color="FFFFFF"/>
            </w:tcBorders>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Výsledná varianta</w:t>
            </w:r>
          </w:p>
        </w:tc>
      </w:tr>
      <w:tr w:rsidR="00B0677E" w:rsidRPr="007264DC" w:rsidTr="00671B7E">
        <w:trPr>
          <w:trHeight w:val="454"/>
        </w:trPr>
        <w:tc>
          <w:tcPr>
            <w:tcW w:w="4428" w:type="dxa"/>
            <w:vMerge/>
            <w:tcBorders>
              <w:bottom w:val="single" w:sz="18" w:space="0" w:color="FFFFFF"/>
            </w:tcBorders>
            <w:shd w:val="clear" w:color="auto" w:fill="000066"/>
            <w:vAlign w:val="center"/>
          </w:tcPr>
          <w:p w:rsidR="00B0677E" w:rsidRPr="007264DC" w:rsidRDefault="00B0677E" w:rsidP="007264DC">
            <w:pPr>
              <w:keepNext/>
              <w:spacing w:line="240" w:lineRule="auto"/>
              <w:jc w:val="left"/>
              <w:rPr>
                <w:rFonts w:eastAsia="Times New Roman" w:cs="Arial"/>
                <w:b/>
                <w:bCs/>
                <w:color w:val="FFFFFF"/>
                <w:lang w:eastAsia="cs-CZ"/>
              </w:rPr>
            </w:pPr>
          </w:p>
        </w:tc>
        <w:tc>
          <w:tcPr>
            <w:tcW w:w="4860" w:type="dxa"/>
            <w:tcBorders>
              <w:top w:val="nil"/>
              <w:bottom w:val="single" w:sz="18" w:space="0" w:color="FFFFFF"/>
            </w:tcBorders>
            <w:shd w:val="clear" w:color="auto" w:fill="000066"/>
            <w:vAlign w:val="center"/>
          </w:tcPr>
          <w:p w:rsidR="00B0677E" w:rsidRPr="007264DC" w:rsidRDefault="00B0677E" w:rsidP="007264DC">
            <w:pPr>
              <w:keepNext/>
              <w:spacing w:line="240" w:lineRule="auto"/>
              <w:rPr>
                <w:rFonts w:eastAsia="Times New Roman" w:cs="Arial"/>
                <w:b/>
                <w:bCs/>
                <w:color w:val="FFFFFF"/>
                <w:lang w:eastAsia="cs-CZ"/>
              </w:rPr>
            </w:pPr>
            <w:r w:rsidRPr="007264DC">
              <w:rPr>
                <w:rFonts w:eastAsia="Times New Roman" w:cs="Arial"/>
                <w:b/>
                <w:bCs/>
                <w:color w:val="FFFFFF"/>
                <w:lang w:eastAsia="cs-CZ"/>
              </w:rPr>
              <w:t>Varianta 0 - ponechání stávající hranice pro výjimku z povinnosti uveřejnit prospekt ve výši 1 mil. EUR</w:t>
            </w:r>
          </w:p>
        </w:tc>
      </w:tr>
      <w:tr w:rsidR="00B0677E" w:rsidRPr="007264DC" w:rsidTr="00671B7E">
        <w:trPr>
          <w:trHeight w:val="454"/>
        </w:trPr>
        <w:tc>
          <w:tcPr>
            <w:tcW w:w="9288" w:type="dxa"/>
            <w:gridSpan w:val="2"/>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Přínosy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B0677E" w:rsidRPr="007264DC" w:rsidTr="00671B7E">
        <w:trPr>
          <w:trHeight w:val="454"/>
        </w:trPr>
        <w:tc>
          <w:tcPr>
            <w:tcW w:w="9288" w:type="dxa"/>
            <w:gridSpan w:val="2"/>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Náklady</w:t>
            </w:r>
          </w:p>
        </w:tc>
      </w:tr>
      <w:tr w:rsidR="00B067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Náklady</w:t>
            </w:r>
          </w:p>
        </w:tc>
        <w:tc>
          <w:tcPr>
            <w:tcW w:w="4860" w:type="dxa"/>
            <w:tcBorders>
              <w:top w:val="single" w:sz="18" w:space="0" w:color="FFFFFF"/>
              <w:bottom w:val="single" w:sz="18" w:space="0" w:color="FFFFFF"/>
            </w:tcBorders>
            <w:shd w:val="clear" w:color="auto" w:fill="6699FF"/>
            <w:vAlign w:val="center"/>
          </w:tcPr>
          <w:p w:rsidR="00B0677E" w:rsidRPr="007264DC" w:rsidRDefault="00B067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Zvolená varianta nepředstavuje povinné vynaložení nákladů.</w:t>
            </w:r>
          </w:p>
        </w:tc>
      </w:tr>
    </w:tbl>
    <w:p w:rsidR="00B0677E" w:rsidRPr="007264DC" w:rsidRDefault="00B0677E" w:rsidP="007264DC">
      <w:pPr>
        <w:keepNext/>
        <w:spacing w:line="240" w:lineRule="auto"/>
        <w:rPr>
          <w:rFonts w:eastAsia="Times New Roman" w:cs="Arial"/>
          <w:spacing w:val="-4"/>
          <w:lang w:eastAsia="cs-CZ"/>
        </w:rPr>
      </w:pPr>
      <w:r w:rsidRPr="007264DC">
        <w:rPr>
          <w:rFonts w:eastAsia="Times New Roman" w:cs="Arial"/>
          <w:spacing w:val="-4"/>
          <w:lang w:eastAsia="cs-CZ"/>
        </w:rPr>
        <w:t>Konzultace č.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616"/>
      </w:tblGrid>
      <w:tr w:rsidR="00B0677E" w:rsidRPr="007264DC" w:rsidTr="00671B7E">
        <w:tc>
          <w:tcPr>
            <w:tcW w:w="0" w:type="auto"/>
            <w:shd w:val="clear" w:color="auto" w:fill="0070C0"/>
          </w:tcPr>
          <w:p w:rsidR="00B0677E" w:rsidRPr="007264DC" w:rsidRDefault="00B0677E" w:rsidP="007264DC">
            <w:pPr>
              <w:keepNext/>
              <w:autoSpaceDE w:val="0"/>
              <w:autoSpaceDN w:val="0"/>
              <w:adjustRightInd w:val="0"/>
              <w:spacing w:line="240" w:lineRule="auto"/>
              <w:contextualSpacing/>
              <w:jc w:val="center"/>
              <w:rPr>
                <w:rFonts w:eastAsia="Times New Roman" w:cs="Arial"/>
                <w:color w:val="FFFFFF"/>
                <w:lang w:eastAsia="cs-CZ"/>
              </w:rPr>
            </w:pPr>
            <w:r w:rsidRPr="007264DC">
              <w:rPr>
                <w:rFonts w:eastAsia="Times New Roman" w:cs="Arial"/>
                <w:color w:val="FFFFFF"/>
                <w:lang w:eastAsia="cs-CZ"/>
              </w:rPr>
              <w:t>Otázka první</w:t>
            </w:r>
          </w:p>
        </w:tc>
        <w:tc>
          <w:tcPr>
            <w:tcW w:w="0" w:type="auto"/>
            <w:shd w:val="clear" w:color="auto" w:fill="00B0F0"/>
          </w:tcPr>
          <w:p w:rsidR="00B0677E" w:rsidRPr="007264DC" w:rsidRDefault="00B0677E" w:rsidP="007264DC">
            <w:pPr>
              <w:keepNext/>
              <w:autoSpaceDE w:val="0"/>
              <w:autoSpaceDN w:val="0"/>
              <w:adjustRightInd w:val="0"/>
              <w:spacing w:line="240" w:lineRule="auto"/>
              <w:contextualSpacing/>
              <w:rPr>
                <w:rFonts w:eastAsia="Times New Roman" w:cs="Arial"/>
                <w:color w:val="FFFFFF"/>
                <w:lang w:eastAsia="cs-CZ"/>
              </w:rPr>
            </w:pPr>
            <w:r w:rsidRPr="007264DC">
              <w:rPr>
                <w:rFonts w:eastAsia="Times New Roman" w:cs="Arial"/>
                <w:color w:val="FFFFFF"/>
                <w:lang w:eastAsia="cs-CZ"/>
              </w:rPr>
              <w:t>Považujete stávající hranici pro výjimku z povinnosti vyhotovit prospekt ve výši 1 mil. EUR za vhodně nastavenou a odpovídající podmínkám českého trhu? Pokud podporujete její navýšení, jakou výši byste preferovali (např. 2, 3, 5 nebo 8 mil. EUR)? Svůj názor odůvodněte a doplňte o poznatky z Vaší praxe.</w:t>
            </w:r>
          </w:p>
        </w:tc>
      </w:tr>
    </w:tbl>
    <w:p w:rsidR="00B0677E" w:rsidRPr="007264DC" w:rsidRDefault="00B0677E" w:rsidP="007264DC">
      <w:pPr>
        <w:keepNext/>
        <w:autoSpaceDE w:val="0"/>
        <w:autoSpaceDN w:val="0"/>
        <w:adjustRightInd w:val="0"/>
        <w:spacing w:line="240" w:lineRule="auto"/>
        <w:jc w:val="left"/>
        <w:rPr>
          <w:rFonts w:eastAsia="Times New Roman" w:cs="Arial"/>
          <w:b/>
          <w:spacing w:val="-4"/>
          <w:lang w:eastAsia="x-none"/>
        </w:rPr>
      </w:pPr>
      <w:r w:rsidRPr="007264DC">
        <w:rPr>
          <w:rFonts w:eastAsiaTheme="minorHAnsi" w:cs="Arial"/>
          <w:color w:val="FFFFFF"/>
        </w:rPr>
        <w:t xml:space="preserve"> Měl by všechny povinně vykonávat nebo </w:t>
      </w:r>
    </w:p>
    <w:p w:rsidR="00B0677E" w:rsidRPr="007264DC" w:rsidRDefault="00B0677E" w:rsidP="007264DC">
      <w:pPr>
        <w:keepNext/>
        <w:spacing w:line="240" w:lineRule="auto"/>
        <w:outlineLvl w:val="4"/>
        <w:rPr>
          <w:rFonts w:eastAsia="Times New Roman" w:cs="Arial"/>
          <w:b/>
          <w:spacing w:val="-4"/>
          <w:lang w:eastAsia="x-none"/>
        </w:rPr>
      </w:pPr>
      <w:r w:rsidRPr="007264DC">
        <w:rPr>
          <w:rFonts w:eastAsia="Times New Roman" w:cs="Arial"/>
          <w:b/>
          <w:spacing w:val="-4"/>
          <w:lang w:val="x-none" w:eastAsia="x-none"/>
        </w:rPr>
        <w:t>Výsledky konzultace</w:t>
      </w:r>
      <w:r w:rsidRPr="007264DC">
        <w:rPr>
          <w:rFonts w:eastAsia="Times New Roman" w:cs="Arial"/>
          <w:b/>
          <w:spacing w:val="-4"/>
          <w:lang w:eastAsia="x-none"/>
        </w:rPr>
        <w:t xml:space="preserve"> č. 1:</w:t>
      </w:r>
    </w:p>
    <w:p w:rsidR="00B0677E" w:rsidRPr="007264DC" w:rsidRDefault="00B0677E" w:rsidP="007264DC">
      <w:pPr>
        <w:keepNext/>
        <w:spacing w:line="240" w:lineRule="auto"/>
        <w:rPr>
          <w:rFonts w:eastAsia="Times New Roman" w:cs="Arial"/>
          <w:spacing w:val="-4"/>
          <w:lang w:eastAsia="x-none"/>
        </w:rPr>
      </w:pPr>
      <w:r w:rsidRPr="007264DC">
        <w:rPr>
          <w:rFonts w:eastAsia="Times New Roman" w:cs="Arial"/>
          <w:b/>
          <w:spacing w:val="-4"/>
          <w:lang w:eastAsia="x-none"/>
        </w:rPr>
        <w:t>Česká národní banka</w:t>
      </w:r>
      <w:r w:rsidRPr="007264DC">
        <w:rPr>
          <w:rFonts w:eastAsia="Times New Roman" w:cs="Arial"/>
          <w:spacing w:val="-4"/>
          <w:lang w:eastAsia="x-none"/>
        </w:rPr>
        <w:t xml:space="preserve">: </w:t>
      </w:r>
    </w:p>
    <w:p w:rsidR="00B0677E" w:rsidRPr="007264DC" w:rsidRDefault="00B0677E" w:rsidP="007264DC">
      <w:pPr>
        <w:keepNext/>
        <w:spacing w:line="240" w:lineRule="auto"/>
        <w:rPr>
          <w:rFonts w:eastAsia="Times New Roman" w:cs="Arial"/>
          <w:i/>
          <w:spacing w:val="-4"/>
          <w:lang w:eastAsia="cs-CZ"/>
        </w:rPr>
      </w:pPr>
      <w:r w:rsidRPr="007264DC">
        <w:rPr>
          <w:rFonts w:eastAsia="Times New Roman" w:cs="Arial"/>
          <w:i/>
          <w:spacing w:val="-4"/>
          <w:lang w:eastAsia="cs-CZ"/>
        </w:rPr>
        <w:t>„Aktuální hranice 1 mil. EUR, do které platí výjimka z vyhotovení prospektu, byla zvolena v roce 2011 tak, aby odpovídala podmínkám českého trhu. Při dalších úvahách o výši hranice hrají roli nejen náklady na zpracování prospektu, ale také zkušenosti s mnohými emisemi dluhopisů, kdy byla snaha využít výjimek nebo obejít regulaci.</w:t>
      </w:r>
    </w:p>
    <w:p w:rsidR="00B0677E" w:rsidRPr="007264DC" w:rsidRDefault="00B0677E" w:rsidP="007264DC">
      <w:pPr>
        <w:keepNext/>
        <w:spacing w:line="240" w:lineRule="auto"/>
        <w:rPr>
          <w:rFonts w:eastAsia="Times New Roman" w:cs="Arial"/>
          <w:i/>
          <w:spacing w:val="-4"/>
          <w:lang w:eastAsia="cs-CZ"/>
        </w:rPr>
      </w:pPr>
      <w:r w:rsidRPr="007264DC">
        <w:rPr>
          <w:rFonts w:eastAsia="Times New Roman" w:cs="Arial"/>
          <w:bCs/>
          <w:i/>
          <w:spacing w:val="-4"/>
          <w:lang w:eastAsia="cs-CZ"/>
        </w:rPr>
        <w:t>Uvítali jsme, že nařízení o prospektu stanovilo „zákl</w:t>
      </w:r>
      <w:r w:rsidR="007264DC">
        <w:rPr>
          <w:rFonts w:eastAsia="Times New Roman" w:cs="Arial"/>
          <w:bCs/>
          <w:i/>
          <w:spacing w:val="-4"/>
          <w:lang w:eastAsia="cs-CZ"/>
        </w:rPr>
        <w:t>adní“ hranici pro výjimku z </w:t>
      </w:r>
      <w:r w:rsidRPr="007264DC">
        <w:rPr>
          <w:rFonts w:eastAsia="Times New Roman" w:cs="Arial"/>
          <w:bCs/>
          <w:i/>
          <w:spacing w:val="-4"/>
          <w:lang w:eastAsia="cs-CZ"/>
        </w:rPr>
        <w:t>veřejné nabídky ve výši 1 mil. EUR, tedy ve vý</w:t>
      </w:r>
      <w:r w:rsidR="007264DC">
        <w:rPr>
          <w:rFonts w:eastAsia="Times New Roman" w:cs="Arial"/>
          <w:bCs/>
          <w:i/>
          <w:spacing w:val="-4"/>
          <w:lang w:eastAsia="cs-CZ"/>
        </w:rPr>
        <w:t>ši, kterou ČR dosud uplatňuje v </w:t>
      </w:r>
      <w:r w:rsidRPr="007264DC">
        <w:rPr>
          <w:rFonts w:eastAsia="Times New Roman" w:cs="Arial"/>
          <w:bCs/>
          <w:i/>
          <w:spacing w:val="-4"/>
          <w:lang w:eastAsia="cs-CZ"/>
        </w:rPr>
        <w:t>rámci národní úpravy. Vzhledem k tomu, že stávající hranici ve výši 1 mil. EUR považujeme nadále za adekvátní z hlediska podmínek českého trhu, nenavrhujeme využít možnost zakotvenou v nařízení o prospektu stanovit hranici až do výše 8 mil. EUR. Riziko konkurencesc</w:t>
      </w:r>
      <w:r w:rsidR="007264DC">
        <w:rPr>
          <w:rFonts w:eastAsia="Times New Roman" w:cs="Arial"/>
          <w:bCs/>
          <w:i/>
          <w:spacing w:val="-4"/>
          <w:lang w:eastAsia="cs-CZ"/>
        </w:rPr>
        <w:t>hopnosti kapitálového trhu ČR v </w:t>
      </w:r>
      <w:r w:rsidRPr="007264DC">
        <w:rPr>
          <w:rFonts w:eastAsia="Times New Roman" w:cs="Arial"/>
          <w:bCs/>
          <w:i/>
          <w:spacing w:val="-4"/>
          <w:lang w:eastAsia="cs-CZ"/>
        </w:rPr>
        <w:t>případě, že některé z členských států umožní výjimku na úrovni 8 mil. EUR, nelze považovat za vysoké. Nabídky cenných papírů do této výše jsou na českém trhu realizovány menšími, na zahraničních trzích neznámými společnostmi, a lze tedy předpokládat, že nabídka cenných papírů takových společností na jiném než českém trhu by nebyla úspěšná a efektivní</w:t>
      </w:r>
      <w:r w:rsidRPr="007264DC">
        <w:rPr>
          <w:rFonts w:eastAsia="Times New Roman" w:cs="Arial"/>
          <w:i/>
          <w:spacing w:val="-4"/>
          <w:lang w:eastAsia="cs-CZ"/>
        </w:rPr>
        <w:t>.</w:t>
      </w:r>
    </w:p>
    <w:p w:rsidR="00B0677E" w:rsidRPr="007264DC" w:rsidRDefault="00B0677E" w:rsidP="007264DC">
      <w:pPr>
        <w:keepNext/>
        <w:spacing w:line="240" w:lineRule="auto"/>
        <w:rPr>
          <w:rFonts w:eastAsia="Times New Roman" w:cs="Arial"/>
          <w:spacing w:val="-4"/>
          <w:lang w:eastAsia="x-none"/>
        </w:rPr>
      </w:pPr>
      <w:r w:rsidRPr="007264DC">
        <w:rPr>
          <w:rFonts w:eastAsia="Times New Roman" w:cs="Arial"/>
          <w:bCs/>
          <w:i/>
          <w:spacing w:val="-4"/>
          <w:lang w:eastAsia="cs-CZ"/>
        </w:rPr>
        <w:t>Z hlediska dohledové praxe nevidíme se zacho</w:t>
      </w:r>
      <w:r w:rsidR="007264DC">
        <w:rPr>
          <w:rFonts w:eastAsia="Times New Roman" w:cs="Arial"/>
          <w:bCs/>
          <w:i/>
          <w:spacing w:val="-4"/>
          <w:lang w:eastAsia="cs-CZ"/>
        </w:rPr>
        <w:t>váním aktuální výše hranice pro </w:t>
      </w:r>
      <w:r w:rsidRPr="007264DC">
        <w:rPr>
          <w:rFonts w:eastAsia="Times New Roman" w:cs="Arial"/>
          <w:bCs/>
          <w:i/>
          <w:spacing w:val="-4"/>
          <w:lang w:eastAsia="cs-CZ"/>
        </w:rPr>
        <w:t xml:space="preserve">výjimku problémy, naopak hranice 1 mil. EUR přispívá k omezení rizik retailových investorů. </w:t>
      </w:r>
      <w:r w:rsidRPr="007264DC">
        <w:rPr>
          <w:rFonts w:eastAsia="Times New Roman" w:cs="Arial"/>
          <w:i/>
          <w:spacing w:val="-4"/>
          <w:lang w:eastAsia="cs-CZ"/>
        </w:rPr>
        <w:t>Vyšší hranice (MF zmiňuje též 2 m</w:t>
      </w:r>
      <w:r w:rsidR="007264DC">
        <w:rPr>
          <w:rFonts w:eastAsia="Times New Roman" w:cs="Arial"/>
          <w:i/>
          <w:spacing w:val="-4"/>
          <w:lang w:eastAsia="cs-CZ"/>
        </w:rPr>
        <w:t>il., 3 mil., 5 mil. nebo 8 mil. </w:t>
      </w:r>
      <w:r w:rsidRPr="007264DC">
        <w:rPr>
          <w:rFonts w:eastAsia="Times New Roman" w:cs="Arial"/>
          <w:i/>
          <w:spacing w:val="-4"/>
          <w:lang w:eastAsia="cs-CZ"/>
        </w:rPr>
        <w:t>EUR) by totiž mohla vést k tomu, že povinnosti uveřejnit prospekt se vyhne řada emitentů.“</w:t>
      </w:r>
    </w:p>
    <w:p w:rsidR="00B0677E" w:rsidRPr="007264DC" w:rsidRDefault="00B0677E" w:rsidP="007264DC">
      <w:pPr>
        <w:keepNext/>
        <w:spacing w:line="240" w:lineRule="auto"/>
        <w:rPr>
          <w:rFonts w:eastAsia="Times New Roman" w:cs="Arial"/>
          <w:spacing w:val="-4"/>
          <w:lang w:eastAsia="x-none"/>
        </w:rPr>
      </w:pPr>
      <w:proofErr w:type="spellStart"/>
      <w:r w:rsidRPr="007264DC">
        <w:rPr>
          <w:rFonts w:eastAsia="Times New Roman" w:cs="Arial"/>
          <w:b/>
          <w:bCs/>
          <w:spacing w:val="-4"/>
          <w:lang w:eastAsia="x-none"/>
        </w:rPr>
        <w:t>Wüstenrot</w:t>
      </w:r>
      <w:proofErr w:type="spellEnd"/>
      <w:r w:rsidRPr="007264DC">
        <w:rPr>
          <w:rFonts w:eastAsia="Times New Roman" w:cs="Arial"/>
          <w:spacing w:val="-4"/>
          <w:lang w:eastAsia="x-none"/>
        </w:rPr>
        <w:t xml:space="preserve">: </w:t>
      </w:r>
    </w:p>
    <w:p w:rsidR="00B0677E" w:rsidRPr="007264DC" w:rsidRDefault="00B0677E" w:rsidP="007264DC">
      <w:pPr>
        <w:keepNext/>
        <w:spacing w:line="240" w:lineRule="auto"/>
        <w:rPr>
          <w:rFonts w:eastAsia="Times New Roman" w:cs="Arial"/>
          <w:i/>
          <w:spacing w:val="-4"/>
          <w:lang w:eastAsia="cs-CZ"/>
        </w:rPr>
      </w:pPr>
      <w:r w:rsidRPr="007264DC">
        <w:rPr>
          <w:rFonts w:eastAsia="Times New Roman" w:cs="Arial"/>
          <w:spacing w:val="-4"/>
          <w:lang w:eastAsia="x-none"/>
        </w:rPr>
        <w:t>„</w:t>
      </w:r>
      <w:r w:rsidRPr="007264DC">
        <w:rPr>
          <w:rFonts w:eastAsia="Times New Roman" w:cs="Arial"/>
          <w:i/>
          <w:spacing w:val="-4"/>
          <w:lang w:eastAsia="cs-CZ"/>
        </w:rPr>
        <w:t>Ano, hranice je dostačující pro výjimku z povinnosti vyhotovit prospekt“</w:t>
      </w:r>
    </w:p>
    <w:p w:rsidR="00B0677E" w:rsidRPr="007264DC" w:rsidRDefault="00B0677E" w:rsidP="007264DC">
      <w:pPr>
        <w:keepNext/>
        <w:spacing w:line="240" w:lineRule="auto"/>
        <w:rPr>
          <w:rFonts w:eastAsia="Times New Roman" w:cs="Arial"/>
          <w:b/>
          <w:bCs/>
          <w:color w:val="FFFFFF"/>
          <w:lang w:eastAsia="cs-CZ"/>
        </w:rPr>
      </w:pPr>
      <w:r w:rsidRPr="007264DC">
        <w:rPr>
          <w:rFonts w:eastAsia="Times New Roman" w:cs="Arial"/>
          <w:b/>
          <w:spacing w:val="-4"/>
          <w:lang w:eastAsia="cs-CZ"/>
        </w:rPr>
        <w:t>Shrnutí konzultace</w:t>
      </w:r>
      <w:r w:rsidRPr="007264DC">
        <w:rPr>
          <w:rFonts w:eastAsia="Times New Roman" w:cs="Arial"/>
          <w:b/>
          <w:bCs/>
          <w:color w:val="FFFFFF"/>
          <w:lang w:eastAsia="cs-CZ"/>
        </w:rPr>
        <w:t xml:space="preserve"> </w:t>
      </w:r>
    </w:p>
    <w:p w:rsidR="00B0677E" w:rsidRPr="007264DC" w:rsidRDefault="00B0677E" w:rsidP="007264DC">
      <w:pPr>
        <w:keepNext/>
        <w:spacing w:line="240" w:lineRule="auto"/>
        <w:rPr>
          <w:rFonts w:eastAsia="Times New Roman" w:cs="Arial"/>
          <w:bCs/>
          <w:lang w:eastAsia="cs-CZ"/>
        </w:rPr>
      </w:pPr>
      <w:r w:rsidRPr="007264DC">
        <w:rPr>
          <w:rFonts w:eastAsia="Times New Roman" w:cs="Arial"/>
          <w:bCs/>
          <w:lang w:eastAsia="cs-CZ"/>
        </w:rPr>
        <w:t>Ve prospěch navýšení hranice pro výjimku z povinnosti uveřejnit prospekt se nikdo z účastněných nevyslovil, proto je závěr jednoznačný, byť i řešení spočívající v navýšení hranice skýtá určité potenciální výhody.</w:t>
      </w:r>
    </w:p>
    <w:p w:rsidR="003A47E2" w:rsidRPr="007264DC" w:rsidRDefault="003A47E2" w:rsidP="007264DC">
      <w:pPr>
        <w:keepNext/>
        <w:spacing w:before="360" w:after="240" w:line="240" w:lineRule="auto"/>
        <w:rPr>
          <w:rFonts w:eastAsia="Times New Roman" w:cs="Arial"/>
          <w:b/>
          <w:bCs/>
          <w:lang w:eastAsia="x-none"/>
        </w:rPr>
      </w:pPr>
      <w:r w:rsidRPr="007264DC">
        <w:rPr>
          <w:rFonts w:eastAsia="Times New Roman" w:cs="Arial"/>
          <w:b/>
          <w:bCs/>
          <w:lang w:eastAsia="x-none"/>
        </w:rPr>
        <w:t>2.2 Nahrazení části shrnutí prospektu sdělením klíčových informací</w:t>
      </w:r>
    </w:p>
    <w:p w:rsidR="00671B7E" w:rsidRPr="007264DC" w:rsidRDefault="00671B7E" w:rsidP="007264DC">
      <w:pPr>
        <w:keepNext/>
        <w:spacing w:line="240" w:lineRule="auto"/>
        <w:rPr>
          <w:rFonts w:eastAsia="Times New Roman" w:cs="Arial"/>
          <w:b/>
          <w:spacing w:val="-4"/>
          <w:lang w:eastAsia="cs-CZ"/>
        </w:rPr>
      </w:pPr>
      <w:r w:rsidRPr="007264DC">
        <w:rPr>
          <w:rFonts w:eastAsia="Times New Roman" w:cs="Arial"/>
          <w:b/>
          <w:spacing w:val="-4"/>
          <w:lang w:eastAsia="cs-CZ"/>
        </w:rPr>
        <w:t xml:space="preserve">Možnost náhrady třetího oddílu shrnutí prospektu informacemi, které obsahuje sdělení klíčových informací (KIID, Key Investor Information Document) </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Shrnutí prospektu je část prospektu obsahujíc</w:t>
      </w:r>
      <w:r w:rsidR="00BA1D97">
        <w:rPr>
          <w:rFonts w:eastAsia="Times New Roman" w:cs="Arial"/>
          <w:spacing w:val="-4"/>
          <w:lang w:eastAsia="cs-CZ"/>
        </w:rPr>
        <w:t>í veškeré klíčové informace pro </w:t>
      </w:r>
      <w:r w:rsidRPr="007264DC">
        <w:rPr>
          <w:rFonts w:eastAsia="Times New Roman" w:cs="Arial"/>
          <w:spacing w:val="-4"/>
          <w:lang w:eastAsia="cs-CZ"/>
        </w:rPr>
        <w:t>potenciálního investora ve strukturované podobě. Shrnutí tvoří stručný úvod prospektu o délce max. 7 stran A4 a po jeho přečtení by měl být drobný (retailový) investor schopen učinit informované rozhodnutí o investici.</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Nařízení o prospektu nabízí v čl. 7. odst. 7 možnost, aby domovský členský stát EU vyžadoval od emitenta, který povinně vypracovává sdělení klíčových informací podle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aby nahradil třetí oddíl shrnutí prospektu informacemi, které obsahuje sdělení klíčových informací dle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Třetí oddíl shrnutí o prospektu obsahuje následující pododdíly: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1. „Jaké jsou hlavní rysy cenných papírů?“;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2. „Kde budou cenné papíry obchodovány?“;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3. „Je za cenné papíry poskytnuta záruka?“ a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4. „Jaká jsou hlavní rizika, která jsou specifická pro tyto cenné papíry?“. </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V případě využití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by shrnutí prospektu namísto výše uvedených obsahovalo pododdíly: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1. „O jaký produkt se jedná?“;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2. „Jaká podstupuji rizika a jakého výnosu bych mohl dosáhnout?“;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3. „Co se stane, když [název tvůrce produktu s investiční složkou] není schopen uskutečnit výplatu?“;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4. „S jakými náklady je investice spojena?“;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5. „Jak dlouho bych měl investici držet? Mohu si peníze vybrat předčasně?“;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6. „Jakým způsobem mohu podat stížnost?“ a </w:t>
      </w:r>
    </w:p>
    <w:p w:rsidR="00671B7E" w:rsidRPr="007264DC" w:rsidRDefault="00671B7E" w:rsidP="007264DC">
      <w:pPr>
        <w:keepNext/>
        <w:spacing w:before="0" w:after="0" w:line="240" w:lineRule="auto"/>
        <w:rPr>
          <w:rFonts w:eastAsia="Times New Roman" w:cs="Arial"/>
          <w:spacing w:val="-4"/>
          <w:lang w:eastAsia="cs-CZ"/>
        </w:rPr>
      </w:pPr>
      <w:r w:rsidRPr="007264DC">
        <w:rPr>
          <w:rFonts w:eastAsia="Times New Roman" w:cs="Arial"/>
          <w:spacing w:val="-4"/>
          <w:lang w:eastAsia="cs-CZ"/>
        </w:rPr>
        <w:t xml:space="preserve">7. „Jiné relevantní informace“. </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Již na první pohled je zřejmé, že obsahové náležitosti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jsou výrazně širší, než náležitosti třetího oddílu shrnutí prospektu, obsahující klíčové informace o cenných papírech. V případě, kdy emitent nahradí třetí oddíl shrnutí prospektu informacemi, které musí obsahovat sdělení klíčových informací dle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dojde zároveň k navýšení maximálního počtu stran shrnutí prospektu o tři dodatečné strany velikosti A4. Informace nahrazující třetí oddíl shrnutí prospektu by pak rovněž byly samostatným oddílem s označením, že se jedná o obsah sdělení klíčových informací podle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b/>
          <w:spacing w:val="-4"/>
          <w:lang w:eastAsia="cs-CZ"/>
        </w:rPr>
        <w:t>Platná právní úprava</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Stávající právní úprava neobsahuje obdobnou (např. volitelnou) možnost výběru a stanovuje jednotná pravidla pro obsahové náležitosti prospektu.</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b/>
          <w:spacing w:val="-4"/>
          <w:lang w:eastAsia="cs-CZ"/>
        </w:rPr>
        <w:t>Návrh variant řešení</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Jsou zvažovány 2 varianty řešení:</w:t>
      </w:r>
    </w:p>
    <w:p w:rsidR="00671B7E" w:rsidRPr="007264DC" w:rsidRDefault="00671B7E" w:rsidP="007264DC">
      <w:pPr>
        <w:keepNext/>
        <w:numPr>
          <w:ilvl w:val="0"/>
          <w:numId w:val="37"/>
        </w:numPr>
        <w:spacing w:line="240" w:lineRule="auto"/>
        <w:jc w:val="left"/>
        <w:rPr>
          <w:rFonts w:eastAsia="Times New Roman" w:cs="Arial"/>
          <w:spacing w:val="-4"/>
          <w:lang w:eastAsia="cs-CZ"/>
        </w:rPr>
      </w:pPr>
      <w:r w:rsidRPr="007264DC">
        <w:rPr>
          <w:rFonts w:eastAsia="Times New Roman" w:cs="Arial"/>
          <w:spacing w:val="-4"/>
          <w:lang w:eastAsia="cs-CZ"/>
        </w:rPr>
        <w:t>Varianta 0 - nevyužit diskreci</w:t>
      </w:r>
    </w:p>
    <w:p w:rsidR="00671B7E" w:rsidRPr="007264DC" w:rsidRDefault="00671B7E" w:rsidP="007264DC">
      <w:pPr>
        <w:keepNext/>
        <w:numPr>
          <w:ilvl w:val="0"/>
          <w:numId w:val="37"/>
        </w:numPr>
        <w:spacing w:line="240" w:lineRule="auto"/>
        <w:jc w:val="left"/>
        <w:rPr>
          <w:rFonts w:eastAsia="Times New Roman" w:cs="Arial"/>
          <w:spacing w:val="-4"/>
          <w:lang w:eastAsia="cs-CZ"/>
        </w:rPr>
      </w:pPr>
      <w:r w:rsidRPr="007264DC">
        <w:rPr>
          <w:rFonts w:eastAsia="Times New Roman" w:cs="Arial"/>
          <w:spacing w:val="-4"/>
          <w:lang w:eastAsia="cs-CZ"/>
        </w:rPr>
        <w:t xml:space="preserve">Varianta 1 - vyžadovat od emitenta, který povinně vypracovává sdělení klíčových informací podle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aby nahradil třetí oddíl shrnutí prospektu informacemi, které obsahuje sdělení klíčových informací dle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w:t>
      </w:r>
    </w:p>
    <w:p w:rsidR="00671B7E" w:rsidRPr="007264DC" w:rsidRDefault="00671B7E" w:rsidP="007264DC">
      <w:pPr>
        <w:keepNext/>
        <w:spacing w:line="240" w:lineRule="auto"/>
        <w:rPr>
          <w:rFonts w:eastAsia="Times New Roman" w:cs="Arial"/>
          <w:b/>
          <w:spacing w:val="-4"/>
          <w:lang w:eastAsia="cs-CZ"/>
        </w:rPr>
      </w:pPr>
      <w:r w:rsidRPr="007264DC">
        <w:rPr>
          <w:rFonts w:eastAsia="Times New Roman" w:cs="Arial"/>
          <w:b/>
          <w:spacing w:val="-4"/>
          <w:lang w:eastAsia="cs-CZ"/>
        </w:rPr>
        <w:t>Varianta 0 – nevyužití diskrece</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Jelikož nařízení o prospektu zavádí novou koncepci shrnutí prospektu jakožto tzv. sdělení klíčových informací (KIID, Key Investor Information Document), dojde ke změně stávající podoby shrnutí o prospektu v každém případě, tedy i v případě nevyužití diskrece. V tomto případě bude mít shrnutí podobu jednotnou podobu bez ohledu na to, zda emitent povinně vypracovává sdělení klíčových informací podle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w:t>
      </w:r>
    </w:p>
    <w:tbl>
      <w:tblPr>
        <w:tblpPr w:leftFromText="141" w:rightFromText="141" w:vertAnchor="text" w:horzAnchor="margin" w:tblpY="102"/>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83"/>
        <w:gridCol w:w="4531"/>
      </w:tblGrid>
      <w:tr w:rsidR="00671B7E" w:rsidRPr="007264DC" w:rsidTr="00671B7E">
        <w:trPr>
          <w:trHeight w:val="1239"/>
        </w:trPr>
        <w:tc>
          <w:tcPr>
            <w:tcW w:w="4428" w:type="dxa"/>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Aspekt</w:t>
            </w:r>
          </w:p>
        </w:tc>
        <w:tc>
          <w:tcPr>
            <w:tcW w:w="4860" w:type="dxa"/>
            <w:tcBorders>
              <w:top w:val="nil"/>
            </w:tcBorders>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Důsledek</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 významu</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změněna </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bl>
    <w:p w:rsidR="00671B7E" w:rsidRPr="007264DC" w:rsidRDefault="00671B7E" w:rsidP="007264DC">
      <w:pPr>
        <w:keepNext/>
        <w:spacing w:line="240" w:lineRule="auto"/>
        <w:rPr>
          <w:rFonts w:eastAsia="Times New Roman" w:cs="Arial"/>
          <w:b/>
          <w:spacing w:val="-4"/>
          <w:lang w:eastAsia="cs-CZ"/>
        </w:rPr>
      </w:pPr>
    </w:p>
    <w:p w:rsidR="00671B7E" w:rsidRPr="007264DC" w:rsidRDefault="00671B7E" w:rsidP="007264DC">
      <w:pPr>
        <w:keepNext/>
        <w:spacing w:line="240" w:lineRule="auto"/>
        <w:rPr>
          <w:rFonts w:eastAsia="Times New Roman" w:cs="Arial"/>
          <w:b/>
          <w:spacing w:val="-4"/>
          <w:lang w:eastAsia="cs-CZ"/>
        </w:rPr>
      </w:pPr>
      <w:r w:rsidRPr="007264DC">
        <w:rPr>
          <w:rFonts w:eastAsia="Times New Roman" w:cs="Arial"/>
          <w:b/>
          <w:spacing w:val="-4"/>
          <w:lang w:eastAsia="cs-CZ"/>
        </w:rPr>
        <w:t xml:space="preserve">Varianta 1 – požadavek na emitenta, který povinně vypracovává sdělení klíčových informací podle </w:t>
      </w:r>
      <w:r w:rsidR="00287892">
        <w:rPr>
          <w:rFonts w:eastAsia="Times New Roman" w:cs="Arial"/>
          <w:b/>
          <w:spacing w:val="-4"/>
          <w:lang w:eastAsia="cs-CZ"/>
        </w:rPr>
        <w:t xml:space="preserve">nařízení </w:t>
      </w:r>
      <w:proofErr w:type="spellStart"/>
      <w:r w:rsidR="00287892">
        <w:rPr>
          <w:rFonts w:eastAsia="Times New Roman" w:cs="Arial"/>
          <w:b/>
          <w:spacing w:val="-4"/>
          <w:lang w:eastAsia="cs-CZ"/>
        </w:rPr>
        <w:t>PRIIPs</w:t>
      </w:r>
      <w:proofErr w:type="spellEnd"/>
      <w:r w:rsidRPr="007264DC">
        <w:rPr>
          <w:rFonts w:eastAsia="Times New Roman" w:cs="Arial"/>
          <w:b/>
          <w:spacing w:val="-4"/>
          <w:lang w:eastAsia="cs-CZ"/>
        </w:rPr>
        <w:t xml:space="preserve">, aby nahradil třetí oddíl shrnutí prospektu informacemi, které obsahuje sdělení klíčových informací dle čl. 8 odst. 3 písm. c) až i) </w:t>
      </w:r>
      <w:r w:rsidR="00287892">
        <w:rPr>
          <w:rFonts w:eastAsia="Times New Roman" w:cs="Arial"/>
          <w:b/>
          <w:spacing w:val="-4"/>
          <w:lang w:eastAsia="cs-CZ"/>
        </w:rPr>
        <w:t xml:space="preserve">nařízení </w:t>
      </w:r>
      <w:proofErr w:type="spellStart"/>
      <w:r w:rsidR="00287892">
        <w:rPr>
          <w:rFonts w:eastAsia="Times New Roman" w:cs="Arial"/>
          <w:b/>
          <w:spacing w:val="-4"/>
          <w:lang w:eastAsia="cs-CZ"/>
        </w:rPr>
        <w:t>PRIIPs</w:t>
      </w:r>
      <w:proofErr w:type="spellEnd"/>
      <w:r w:rsidRPr="007264DC">
        <w:rPr>
          <w:rFonts w:eastAsia="Times New Roman" w:cs="Arial"/>
          <w:b/>
          <w:spacing w:val="-4"/>
          <w:lang w:eastAsia="cs-CZ"/>
        </w:rPr>
        <w:t>.</w:t>
      </w:r>
    </w:p>
    <w:p w:rsidR="00671B7E" w:rsidRPr="007264DC" w:rsidRDefault="00671B7E" w:rsidP="007264DC">
      <w:pPr>
        <w:spacing w:before="0" w:after="200" w:line="240" w:lineRule="auto"/>
        <w:rPr>
          <w:rFonts w:eastAsia="Times New Roman" w:cs="Arial"/>
          <w:spacing w:val="-4"/>
          <w:lang w:eastAsia="cs-CZ"/>
        </w:rPr>
      </w:pPr>
      <w:r w:rsidRPr="007264DC">
        <w:rPr>
          <w:rFonts w:eastAsia="Times New Roman" w:cs="Arial"/>
          <w:spacing w:val="-4"/>
          <w:lang w:eastAsia="cs-CZ"/>
        </w:rPr>
        <w:t xml:space="preserve">Zvolení této varianty by ve výsledku přineslo dvojí režim v závislosti na tom, zda emitent povinně vypracovává sdělení klíčových informací podle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V případě, že by tomu tak bylo, došlo by zpravidla k rozšíření prospektu, a to až v rozsahu 3 stran o velikosti A4. Vzhledem k zamýšlenému účelu prospektu, tedy stručnému shrnutí základních informací pro potenciálního investora je otázkou, zda je potenciální navýšení rozsahu až o téměř 50% vhodným řešením. </w:t>
      </w:r>
    </w:p>
    <w:tbl>
      <w:tblPr>
        <w:tblpPr w:leftFromText="141" w:rightFromText="141" w:vertAnchor="text" w:horzAnchor="margin" w:tblpY="62"/>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83"/>
        <w:gridCol w:w="4531"/>
      </w:tblGrid>
      <w:tr w:rsidR="00671B7E" w:rsidRPr="007264DC" w:rsidTr="00671B7E">
        <w:trPr>
          <w:trHeight w:val="1239"/>
        </w:trPr>
        <w:tc>
          <w:tcPr>
            <w:tcW w:w="4428" w:type="dxa"/>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Aspekt</w:t>
            </w:r>
          </w:p>
        </w:tc>
        <w:tc>
          <w:tcPr>
            <w:tcW w:w="4860" w:type="dxa"/>
            <w:tcBorders>
              <w:top w:val="nil"/>
            </w:tcBorders>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Důsledek</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 významu</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změněna </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bl>
    <w:p w:rsidR="00671B7E" w:rsidRPr="007264DC" w:rsidRDefault="00671B7E" w:rsidP="007264DC">
      <w:pPr>
        <w:keepNext/>
        <w:spacing w:line="240" w:lineRule="auto"/>
        <w:rPr>
          <w:rFonts w:eastAsia="Times New Roman" w:cs="Arial"/>
          <w:b/>
          <w:spacing w:val="-4"/>
          <w:lang w:eastAsia="cs-CZ"/>
        </w:rPr>
      </w:pPr>
      <w:r w:rsidRPr="007264DC">
        <w:rPr>
          <w:rFonts w:eastAsia="Times New Roman" w:cs="Arial"/>
          <w:b/>
          <w:spacing w:val="-4"/>
          <w:lang w:eastAsia="cs-CZ"/>
        </w:rPr>
        <w:t>Návrh nejvhodnějšího řešení</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Jako nejvhodnější řešení se navrhuje varianta 0. Byť se navrhované řešení, podle nějž by v konkrétních případech docházelo k nahrazení třetího oddílu shrnutí prospektu informacemi, které obsahuje sdělení klíčových informací dle čl. 8 odst. 3 písm. c) až i) </w:t>
      </w:r>
      <w:r w:rsidR="00287892">
        <w:rPr>
          <w:rFonts w:eastAsia="Times New Roman" w:cs="Arial"/>
          <w:spacing w:val="-4"/>
          <w:lang w:eastAsia="cs-CZ"/>
        </w:rPr>
        <w:t xml:space="preserve">nařízení </w:t>
      </w:r>
      <w:proofErr w:type="spellStart"/>
      <w:r w:rsidR="00287892">
        <w:rPr>
          <w:rFonts w:eastAsia="Times New Roman" w:cs="Arial"/>
          <w:spacing w:val="-4"/>
          <w:lang w:eastAsia="cs-CZ"/>
        </w:rPr>
        <w:t>PRIIPs</w:t>
      </w:r>
      <w:proofErr w:type="spellEnd"/>
      <w:r w:rsidRPr="007264DC">
        <w:rPr>
          <w:rFonts w:eastAsia="Times New Roman" w:cs="Arial"/>
          <w:spacing w:val="-4"/>
          <w:lang w:eastAsia="cs-CZ"/>
        </w:rPr>
        <w:t xml:space="preserve">, jeví jako poměrně racionální, zavádí více režimů obsahových náležitostí prospektu a do určité míry tak komplikuje praxi pro potenciální emitenty. </w:t>
      </w:r>
    </w:p>
    <w:p w:rsidR="00671B7E" w:rsidRPr="007264DC" w:rsidRDefault="00671B7E" w:rsidP="007264DC">
      <w:pPr>
        <w:spacing w:before="0" w:after="200" w:line="240" w:lineRule="auto"/>
        <w:rPr>
          <w:rFonts w:eastAsia="Times New Roman" w:cs="Arial"/>
          <w:spacing w:val="-4"/>
          <w:lang w:eastAsia="cs-CZ"/>
        </w:rPr>
      </w:pPr>
    </w:p>
    <w:p w:rsidR="00671B7E" w:rsidRPr="007264DC" w:rsidRDefault="00671B7E" w:rsidP="007264DC">
      <w:pPr>
        <w:spacing w:before="0" w:after="200" w:line="240" w:lineRule="auto"/>
        <w:jc w:val="left"/>
        <w:rPr>
          <w:rFonts w:eastAsia="Calibri" w:cs="Arial"/>
          <w:b/>
          <w:lang w:eastAsia="x-none"/>
        </w:rPr>
      </w:pPr>
      <w:r w:rsidRPr="007264DC">
        <w:rPr>
          <w:rFonts w:eastAsia="Calibri" w:cs="Arial"/>
          <w:b/>
          <w:lang w:eastAsia="x-none"/>
        </w:rPr>
        <w:t>Vy</w:t>
      </w:r>
      <w:r w:rsidRPr="007264DC">
        <w:rPr>
          <w:rFonts w:eastAsia="Calibri" w:cs="Arial"/>
          <w:b/>
          <w:lang w:val="x-none" w:eastAsia="x-none"/>
        </w:rPr>
        <w:t xml:space="preserve">hodnocení zvoleného řešení </w:t>
      </w:r>
      <w:r w:rsidRPr="007264DC">
        <w:rPr>
          <w:rFonts w:eastAsia="Calibri" w:cs="Arial"/>
          <w:b/>
          <w:lang w:eastAsia="x-none"/>
        </w:rPr>
        <w:t>z hlediska přínosů a nákladů</w:t>
      </w:r>
    </w:p>
    <w:tbl>
      <w:tblPr>
        <w:tblpPr w:leftFromText="141" w:rightFromText="141" w:vertAnchor="text" w:horzAnchor="margin" w:tblpY="422"/>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59"/>
        <w:gridCol w:w="4555"/>
      </w:tblGrid>
      <w:tr w:rsidR="00671B7E" w:rsidRPr="007264DC" w:rsidTr="00671B7E">
        <w:trPr>
          <w:trHeight w:val="454"/>
        </w:trPr>
        <w:tc>
          <w:tcPr>
            <w:tcW w:w="4428" w:type="dxa"/>
            <w:vMerge w:val="restart"/>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Dopad</w:t>
            </w:r>
          </w:p>
        </w:tc>
        <w:tc>
          <w:tcPr>
            <w:tcW w:w="4860" w:type="dxa"/>
            <w:tcBorders>
              <w:top w:val="nil"/>
              <w:bottom w:val="single" w:sz="18" w:space="0" w:color="FFFFFF"/>
            </w:tcBorders>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Výsledná varianta</w:t>
            </w:r>
          </w:p>
        </w:tc>
      </w:tr>
      <w:tr w:rsidR="00671B7E" w:rsidRPr="007264DC" w:rsidTr="00671B7E">
        <w:trPr>
          <w:trHeight w:val="454"/>
        </w:trPr>
        <w:tc>
          <w:tcPr>
            <w:tcW w:w="4428" w:type="dxa"/>
            <w:vMerge/>
            <w:tcBorders>
              <w:bottom w:val="single" w:sz="18" w:space="0" w:color="FFFFFF"/>
            </w:tcBorders>
            <w:shd w:val="clear" w:color="auto" w:fill="000066"/>
            <w:vAlign w:val="center"/>
          </w:tcPr>
          <w:p w:rsidR="00671B7E" w:rsidRPr="007264DC" w:rsidRDefault="00671B7E" w:rsidP="007264DC">
            <w:pPr>
              <w:keepNext/>
              <w:spacing w:line="240" w:lineRule="auto"/>
              <w:jc w:val="left"/>
              <w:rPr>
                <w:rFonts w:eastAsia="Times New Roman" w:cs="Arial"/>
                <w:b/>
                <w:bCs/>
                <w:color w:val="FFFFFF"/>
                <w:lang w:eastAsia="cs-CZ"/>
              </w:rPr>
            </w:pPr>
          </w:p>
        </w:tc>
        <w:tc>
          <w:tcPr>
            <w:tcW w:w="4860" w:type="dxa"/>
            <w:tcBorders>
              <w:top w:val="nil"/>
              <w:bottom w:val="single" w:sz="18" w:space="0" w:color="FFFFFF"/>
            </w:tcBorders>
            <w:shd w:val="clear" w:color="auto" w:fill="000066"/>
            <w:vAlign w:val="center"/>
          </w:tcPr>
          <w:p w:rsidR="00671B7E" w:rsidRPr="007264DC" w:rsidRDefault="00671B7E" w:rsidP="007264DC">
            <w:pPr>
              <w:keepNext/>
              <w:spacing w:line="240" w:lineRule="auto"/>
              <w:rPr>
                <w:rFonts w:eastAsia="Times New Roman" w:cs="Arial"/>
                <w:b/>
                <w:bCs/>
                <w:color w:val="FFFFFF"/>
                <w:lang w:eastAsia="cs-CZ"/>
              </w:rPr>
            </w:pPr>
            <w:r w:rsidRPr="007264DC">
              <w:rPr>
                <w:rFonts w:eastAsia="Times New Roman" w:cs="Arial"/>
                <w:b/>
                <w:bCs/>
                <w:color w:val="FFFFFF"/>
                <w:lang w:eastAsia="cs-CZ"/>
              </w:rPr>
              <w:t>Varianta 0 – nevyužití diskrece</w:t>
            </w:r>
          </w:p>
        </w:tc>
      </w:tr>
      <w:tr w:rsidR="00671B7E" w:rsidRPr="007264DC" w:rsidTr="00671B7E">
        <w:trPr>
          <w:trHeight w:val="454"/>
        </w:trPr>
        <w:tc>
          <w:tcPr>
            <w:tcW w:w="9288" w:type="dxa"/>
            <w:gridSpan w:val="2"/>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Přínosy</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 významu</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změněna</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r w:rsidR="00671B7E" w:rsidRPr="007264DC" w:rsidTr="00671B7E">
        <w:trPr>
          <w:trHeight w:val="454"/>
        </w:trPr>
        <w:tc>
          <w:tcPr>
            <w:tcW w:w="9288" w:type="dxa"/>
            <w:gridSpan w:val="2"/>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Náklady</w:t>
            </w:r>
          </w:p>
        </w:tc>
      </w:tr>
      <w:tr w:rsidR="00671B7E" w:rsidRPr="007264DC" w:rsidTr="00671B7E">
        <w:trPr>
          <w:trHeight w:val="454"/>
        </w:trPr>
        <w:tc>
          <w:tcPr>
            <w:tcW w:w="4428"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Náklady</w:t>
            </w:r>
          </w:p>
        </w:tc>
        <w:tc>
          <w:tcPr>
            <w:tcW w:w="4860" w:type="dxa"/>
            <w:tcBorders>
              <w:top w:val="single" w:sz="18" w:space="0" w:color="FFFFFF"/>
              <w:bottom w:val="single" w:sz="18" w:space="0" w:color="FFFFFF"/>
            </w:tcBorders>
            <w:shd w:val="clear" w:color="auto" w:fill="6699FF"/>
            <w:vAlign w:val="center"/>
          </w:tcPr>
          <w:p w:rsidR="00671B7E" w:rsidRPr="007264DC" w:rsidRDefault="00671B7E"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Zvolená varianta nepředstavuje povinné vynaložení nákladů</w:t>
            </w:r>
          </w:p>
        </w:tc>
      </w:tr>
    </w:tbl>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Konzultace č.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7603"/>
      </w:tblGrid>
      <w:tr w:rsidR="00671B7E" w:rsidRPr="007264DC" w:rsidTr="00671B7E">
        <w:tc>
          <w:tcPr>
            <w:tcW w:w="0" w:type="auto"/>
            <w:shd w:val="clear" w:color="auto" w:fill="0070C0"/>
          </w:tcPr>
          <w:p w:rsidR="00671B7E" w:rsidRPr="007264DC" w:rsidRDefault="00671B7E" w:rsidP="007264DC">
            <w:pPr>
              <w:keepNext/>
              <w:autoSpaceDE w:val="0"/>
              <w:autoSpaceDN w:val="0"/>
              <w:adjustRightInd w:val="0"/>
              <w:spacing w:line="240" w:lineRule="auto"/>
              <w:contextualSpacing/>
              <w:jc w:val="center"/>
              <w:rPr>
                <w:rFonts w:eastAsia="Times New Roman" w:cs="Arial"/>
                <w:color w:val="FFFFFF"/>
                <w:lang w:eastAsia="cs-CZ"/>
              </w:rPr>
            </w:pPr>
            <w:r w:rsidRPr="007264DC">
              <w:rPr>
                <w:rFonts w:eastAsia="Times New Roman" w:cs="Arial"/>
                <w:color w:val="FFFFFF"/>
                <w:lang w:eastAsia="cs-CZ"/>
              </w:rPr>
              <w:t>Otázka druhá</w:t>
            </w:r>
          </w:p>
        </w:tc>
        <w:tc>
          <w:tcPr>
            <w:tcW w:w="0" w:type="auto"/>
            <w:shd w:val="clear" w:color="auto" w:fill="00B0F0"/>
          </w:tcPr>
          <w:p w:rsidR="00671B7E" w:rsidRPr="007264DC" w:rsidRDefault="00671B7E" w:rsidP="007264DC">
            <w:pPr>
              <w:keepNext/>
              <w:autoSpaceDE w:val="0"/>
              <w:autoSpaceDN w:val="0"/>
              <w:adjustRightInd w:val="0"/>
              <w:spacing w:line="240" w:lineRule="auto"/>
              <w:contextualSpacing/>
              <w:rPr>
                <w:rFonts w:eastAsia="Times New Roman" w:cs="Arial"/>
                <w:color w:val="FFFFFF"/>
                <w:lang w:eastAsia="cs-CZ"/>
              </w:rPr>
            </w:pPr>
            <w:r w:rsidRPr="007264DC">
              <w:rPr>
                <w:rFonts w:eastAsia="Times New Roman" w:cs="Arial"/>
                <w:color w:val="FFFFFF"/>
                <w:lang w:eastAsia="cs-CZ"/>
              </w:rPr>
              <w:t xml:space="preserve">Považujete za vhodné, aby Česká republika vyžadovala od emitentů, kteří povinně vypracovávají sdělení klíčových informací podle nařízení </w:t>
            </w:r>
            <w:r w:rsidR="00287892">
              <w:rPr>
                <w:rFonts w:eastAsia="Times New Roman" w:cs="Arial"/>
                <w:color w:val="FFFFFF"/>
                <w:lang w:eastAsia="cs-CZ"/>
              </w:rPr>
              <w:t xml:space="preserve">nařízení </w:t>
            </w:r>
            <w:proofErr w:type="spellStart"/>
            <w:r w:rsidR="00287892">
              <w:rPr>
                <w:rFonts w:eastAsia="Times New Roman" w:cs="Arial"/>
                <w:color w:val="FFFFFF"/>
                <w:lang w:eastAsia="cs-CZ"/>
              </w:rPr>
              <w:t>PRIIPs</w:t>
            </w:r>
            <w:proofErr w:type="spellEnd"/>
            <w:r w:rsidRPr="007264DC">
              <w:rPr>
                <w:rFonts w:eastAsia="Times New Roman" w:cs="Arial"/>
                <w:color w:val="FFFFFF"/>
                <w:lang w:eastAsia="cs-CZ"/>
              </w:rPr>
              <w:t xml:space="preserve">, aby vždy nahradili třetí oddíl shrnutí prospektu informacemi, které musí obsahovat sdělení klíčových informací dle čl. 8 odst. 3 písm. c) až i) </w:t>
            </w:r>
            <w:r w:rsidR="00287892">
              <w:rPr>
                <w:rFonts w:eastAsia="Times New Roman" w:cs="Arial"/>
                <w:color w:val="FFFFFF"/>
                <w:lang w:eastAsia="cs-CZ"/>
              </w:rPr>
              <w:t xml:space="preserve">nařízení </w:t>
            </w:r>
            <w:proofErr w:type="spellStart"/>
            <w:r w:rsidR="00287892">
              <w:rPr>
                <w:rFonts w:eastAsia="Times New Roman" w:cs="Arial"/>
                <w:color w:val="FFFFFF"/>
                <w:lang w:eastAsia="cs-CZ"/>
              </w:rPr>
              <w:t>PRIIPs</w:t>
            </w:r>
            <w:proofErr w:type="spellEnd"/>
            <w:r w:rsidRPr="007264DC">
              <w:rPr>
                <w:rFonts w:eastAsia="Times New Roman" w:cs="Arial"/>
                <w:color w:val="FFFFFF"/>
                <w:lang w:eastAsia="cs-CZ"/>
              </w:rPr>
              <w:t>? Pokud ano, z jakých důvodů?</w:t>
            </w:r>
          </w:p>
        </w:tc>
      </w:tr>
    </w:tbl>
    <w:p w:rsidR="00671B7E" w:rsidRPr="007264DC" w:rsidRDefault="00671B7E" w:rsidP="007264DC">
      <w:pPr>
        <w:keepNext/>
        <w:autoSpaceDE w:val="0"/>
        <w:autoSpaceDN w:val="0"/>
        <w:adjustRightInd w:val="0"/>
        <w:spacing w:line="240" w:lineRule="auto"/>
        <w:jc w:val="left"/>
        <w:rPr>
          <w:rFonts w:eastAsia="Times New Roman" w:cs="Arial"/>
          <w:bCs/>
          <w:lang w:eastAsia="cs-CZ"/>
        </w:rPr>
      </w:pPr>
      <w:r w:rsidRPr="007264DC">
        <w:rPr>
          <w:rFonts w:eastAsiaTheme="minorHAnsi" w:cs="Arial"/>
          <w:color w:val="FFFFFF"/>
        </w:rPr>
        <w:t xml:space="preserve"> l by všechny povinně vykonávat nebo </w:t>
      </w:r>
    </w:p>
    <w:p w:rsidR="00671B7E" w:rsidRPr="007264DC" w:rsidRDefault="00671B7E" w:rsidP="007264DC">
      <w:pPr>
        <w:keepNext/>
        <w:spacing w:line="240" w:lineRule="auto"/>
        <w:outlineLvl w:val="4"/>
        <w:rPr>
          <w:rFonts w:eastAsia="Times New Roman" w:cs="Arial"/>
          <w:b/>
          <w:spacing w:val="-4"/>
          <w:lang w:eastAsia="x-none"/>
        </w:rPr>
      </w:pPr>
      <w:r w:rsidRPr="007264DC">
        <w:rPr>
          <w:rFonts w:eastAsia="Times New Roman" w:cs="Arial"/>
          <w:b/>
          <w:spacing w:val="-4"/>
          <w:lang w:val="x-none" w:eastAsia="x-none"/>
        </w:rPr>
        <w:t>Výsledky konzultace</w:t>
      </w:r>
      <w:r w:rsidRPr="007264DC">
        <w:rPr>
          <w:rFonts w:eastAsia="Times New Roman" w:cs="Arial"/>
          <w:b/>
          <w:spacing w:val="-4"/>
          <w:lang w:eastAsia="x-none"/>
        </w:rPr>
        <w:t xml:space="preserve"> č. 2:</w:t>
      </w:r>
    </w:p>
    <w:p w:rsidR="00671B7E" w:rsidRPr="007264DC" w:rsidRDefault="00671B7E" w:rsidP="007264DC">
      <w:pPr>
        <w:keepNext/>
        <w:spacing w:line="240" w:lineRule="auto"/>
        <w:rPr>
          <w:rFonts w:eastAsia="Times New Roman" w:cs="Arial"/>
          <w:spacing w:val="-4"/>
          <w:lang w:eastAsia="x-none"/>
        </w:rPr>
      </w:pPr>
      <w:r w:rsidRPr="007264DC">
        <w:rPr>
          <w:rFonts w:eastAsia="Times New Roman" w:cs="Arial"/>
          <w:b/>
          <w:spacing w:val="-4"/>
          <w:lang w:eastAsia="x-none"/>
        </w:rPr>
        <w:t>Česká národní banka</w:t>
      </w:r>
      <w:r w:rsidRPr="007264DC">
        <w:rPr>
          <w:rFonts w:eastAsia="Times New Roman" w:cs="Arial"/>
          <w:spacing w:val="-4"/>
          <w:lang w:eastAsia="x-none"/>
        </w:rPr>
        <w:t xml:space="preserve">: </w:t>
      </w:r>
    </w:p>
    <w:p w:rsidR="00671B7E" w:rsidRPr="007264DC" w:rsidRDefault="00671B7E" w:rsidP="007264DC">
      <w:pPr>
        <w:keepNext/>
        <w:spacing w:line="240" w:lineRule="auto"/>
        <w:rPr>
          <w:rFonts w:eastAsia="Times New Roman" w:cs="Arial"/>
          <w:i/>
          <w:spacing w:val="-4"/>
          <w:lang w:eastAsia="cs-CZ"/>
        </w:rPr>
      </w:pPr>
      <w:r w:rsidRPr="007264DC">
        <w:rPr>
          <w:rFonts w:eastAsia="Times New Roman" w:cs="Arial"/>
          <w:i/>
          <w:spacing w:val="-4"/>
          <w:lang w:eastAsia="cs-CZ"/>
        </w:rPr>
        <w:t xml:space="preserve">„Regulace sdělení klíčových informací podle nařízení </w:t>
      </w:r>
      <w:proofErr w:type="spellStart"/>
      <w:r w:rsidRPr="007264DC">
        <w:rPr>
          <w:rFonts w:eastAsia="Times New Roman" w:cs="Arial"/>
          <w:i/>
          <w:spacing w:val="-4"/>
          <w:lang w:eastAsia="cs-CZ"/>
        </w:rPr>
        <w:t>PRIIPs</w:t>
      </w:r>
      <w:proofErr w:type="spellEnd"/>
      <w:r w:rsidRPr="007264DC">
        <w:rPr>
          <w:rFonts w:eastAsia="Times New Roman" w:cs="Arial"/>
          <w:i/>
          <w:spacing w:val="-4"/>
          <w:lang w:eastAsia="cs-CZ"/>
        </w:rPr>
        <w:t xml:space="preserve"> a prospektu není zcela shodná, a to nejen co do obsahu předmětných dokumentů, ale též procesu jejich uveřejnění. Sdělení klíčových informací podle nařízení </w:t>
      </w:r>
      <w:proofErr w:type="spellStart"/>
      <w:r w:rsidRPr="007264DC">
        <w:rPr>
          <w:rFonts w:eastAsia="Times New Roman" w:cs="Arial"/>
          <w:i/>
          <w:spacing w:val="-4"/>
          <w:lang w:eastAsia="cs-CZ"/>
        </w:rPr>
        <w:t>PRIIPs</w:t>
      </w:r>
      <w:proofErr w:type="spellEnd"/>
      <w:r w:rsidRPr="007264DC">
        <w:rPr>
          <w:rFonts w:eastAsia="Times New Roman" w:cs="Arial"/>
          <w:i/>
          <w:spacing w:val="-4"/>
          <w:lang w:eastAsia="cs-CZ"/>
        </w:rPr>
        <w:t xml:space="preserve"> je v ČR předkládáno přímo retailovým investorům (bez předchozího schválení ze strany České národní banky), zatímco prospekt je před publikací schvalován Českou národní bankou. Pokud bude příslušná emise dluhopisů podléhat oběma regulacím, jeví se tedy vhodným (s ohledem na možné rozpory obou dokumentů), aby v příslušné pasáži byla část shrnutí prospektu nahrazena sdělením klíčových informací podle nařízení </w:t>
      </w:r>
      <w:proofErr w:type="spellStart"/>
      <w:r w:rsidRPr="007264DC">
        <w:rPr>
          <w:rFonts w:eastAsia="Times New Roman" w:cs="Arial"/>
          <w:i/>
          <w:spacing w:val="-4"/>
          <w:lang w:eastAsia="cs-CZ"/>
        </w:rPr>
        <w:t>PRIIPs</w:t>
      </w:r>
      <w:proofErr w:type="spellEnd"/>
      <w:r w:rsidRPr="007264DC">
        <w:rPr>
          <w:rFonts w:eastAsia="Times New Roman" w:cs="Arial"/>
          <w:i/>
          <w:spacing w:val="-4"/>
          <w:lang w:eastAsia="cs-CZ"/>
        </w:rPr>
        <w:t xml:space="preserve">. Vzhledem k větší hloubce sdělení klíčových informací podle nařízení </w:t>
      </w:r>
      <w:proofErr w:type="spellStart"/>
      <w:r w:rsidRPr="007264DC">
        <w:rPr>
          <w:rFonts w:eastAsia="Times New Roman" w:cs="Arial"/>
          <w:i/>
          <w:spacing w:val="-4"/>
          <w:lang w:eastAsia="cs-CZ"/>
        </w:rPr>
        <w:t>PRIIPs</w:t>
      </w:r>
      <w:proofErr w:type="spellEnd"/>
      <w:r w:rsidRPr="007264DC">
        <w:rPr>
          <w:rFonts w:eastAsia="Times New Roman" w:cs="Arial"/>
          <w:i/>
          <w:spacing w:val="-4"/>
          <w:lang w:eastAsia="cs-CZ"/>
        </w:rPr>
        <w:t xml:space="preserve"> se takové řešení zdá transparentnější vůči investorům. Na druhou stranu ale tyto důvody nepovažujeme za natolik přesvědčivé, aby toto bylo (obecně) národní</w:t>
      </w:r>
      <w:r w:rsidR="007264DC">
        <w:rPr>
          <w:rFonts w:eastAsia="Times New Roman" w:cs="Arial"/>
          <w:i/>
          <w:spacing w:val="-4"/>
          <w:lang w:eastAsia="cs-CZ"/>
        </w:rPr>
        <w:t xml:space="preserve"> adaptační úpravou k nařízení o </w:t>
      </w:r>
      <w:r w:rsidRPr="007264DC">
        <w:rPr>
          <w:rFonts w:eastAsia="Times New Roman" w:cs="Arial"/>
          <w:i/>
          <w:spacing w:val="-4"/>
          <w:lang w:eastAsia="cs-CZ"/>
        </w:rPr>
        <w:t>prospektu stanoveno jako povinnost.</w:t>
      </w:r>
    </w:p>
    <w:p w:rsidR="00671B7E" w:rsidRPr="007264DC" w:rsidRDefault="00671B7E" w:rsidP="007264DC">
      <w:pPr>
        <w:keepNext/>
        <w:spacing w:line="240" w:lineRule="auto"/>
        <w:rPr>
          <w:rFonts w:eastAsia="Times New Roman" w:cs="Arial"/>
          <w:spacing w:val="-4"/>
          <w:lang w:eastAsia="x-none"/>
        </w:rPr>
      </w:pPr>
      <w:r w:rsidRPr="007264DC">
        <w:rPr>
          <w:rFonts w:eastAsia="Times New Roman" w:cs="Arial"/>
          <w:i/>
          <w:spacing w:val="-4"/>
          <w:lang w:eastAsia="cs-CZ"/>
        </w:rPr>
        <w:t xml:space="preserve">Domníváme se proto, že by bylo vhodné umožnit emitentovi, aby mohl na základě vlastního rozhodnutí nahradit třetí oddíl shrnutí prospektu informacemi, které zpracoval podle nařízení </w:t>
      </w:r>
      <w:proofErr w:type="spellStart"/>
      <w:r w:rsidRPr="007264DC">
        <w:rPr>
          <w:rFonts w:eastAsia="Times New Roman" w:cs="Arial"/>
          <w:i/>
          <w:spacing w:val="-4"/>
          <w:lang w:eastAsia="cs-CZ"/>
        </w:rPr>
        <w:t>PRIIPs</w:t>
      </w:r>
      <w:proofErr w:type="spellEnd"/>
      <w:r w:rsidRPr="007264DC">
        <w:rPr>
          <w:rFonts w:eastAsia="Times New Roman" w:cs="Arial"/>
          <w:i/>
          <w:spacing w:val="-4"/>
          <w:lang w:eastAsia="cs-CZ"/>
        </w:rPr>
        <w:t xml:space="preserve"> (sdělení klíčových informací). Případné stanovení takové povinnosti lze zvažovat až na základě praktických zkušeností s využíváním tohoto postupu emitenty.“</w:t>
      </w:r>
    </w:p>
    <w:p w:rsidR="00671B7E" w:rsidRPr="007264DC" w:rsidRDefault="00671B7E" w:rsidP="007264DC">
      <w:pPr>
        <w:keepNext/>
        <w:spacing w:line="240" w:lineRule="auto"/>
        <w:rPr>
          <w:rFonts w:eastAsia="Times New Roman" w:cs="Arial"/>
          <w:spacing w:val="-4"/>
          <w:lang w:eastAsia="x-none"/>
        </w:rPr>
      </w:pPr>
      <w:proofErr w:type="spellStart"/>
      <w:r w:rsidRPr="007264DC">
        <w:rPr>
          <w:rFonts w:eastAsia="Times New Roman" w:cs="Arial"/>
          <w:b/>
          <w:bCs/>
          <w:spacing w:val="-4"/>
          <w:lang w:eastAsia="x-none"/>
        </w:rPr>
        <w:t>Wüstenrot</w:t>
      </w:r>
      <w:proofErr w:type="spellEnd"/>
      <w:r w:rsidRPr="007264DC">
        <w:rPr>
          <w:rFonts w:eastAsia="Times New Roman" w:cs="Arial"/>
          <w:spacing w:val="-4"/>
          <w:lang w:eastAsia="x-none"/>
        </w:rPr>
        <w:t xml:space="preserve">: </w:t>
      </w:r>
    </w:p>
    <w:p w:rsidR="00671B7E" w:rsidRPr="007264DC" w:rsidRDefault="00671B7E" w:rsidP="007264DC">
      <w:pPr>
        <w:keepNext/>
        <w:spacing w:line="240" w:lineRule="auto"/>
        <w:rPr>
          <w:rFonts w:eastAsia="Times New Roman" w:cs="Arial"/>
          <w:i/>
          <w:spacing w:val="-4"/>
          <w:lang w:eastAsia="cs-CZ"/>
        </w:rPr>
      </w:pPr>
      <w:r w:rsidRPr="007264DC">
        <w:rPr>
          <w:rFonts w:eastAsia="Times New Roman" w:cs="Arial"/>
          <w:spacing w:val="-4"/>
          <w:lang w:eastAsia="x-none"/>
        </w:rPr>
        <w:t>„</w:t>
      </w:r>
      <w:r w:rsidRPr="007264DC">
        <w:rPr>
          <w:rFonts w:eastAsia="Times New Roman" w:cs="Arial"/>
          <w:i/>
          <w:spacing w:val="-4"/>
          <w:lang w:eastAsia="cs-CZ"/>
        </w:rPr>
        <w:t>Ne, určitě preferujeme jednotnou strukturu sdělení klíčových informací (viz 3.3 výše) a specifika řešit „pod čarou“ v doplňujících informacích.“</w:t>
      </w:r>
    </w:p>
    <w:p w:rsidR="00671B7E" w:rsidRPr="007264DC" w:rsidRDefault="00671B7E" w:rsidP="007264DC">
      <w:pPr>
        <w:keepNext/>
        <w:spacing w:line="240" w:lineRule="auto"/>
        <w:rPr>
          <w:rFonts w:eastAsia="Times New Roman" w:cs="Arial"/>
          <w:b/>
          <w:spacing w:val="-4"/>
          <w:lang w:eastAsia="cs-CZ"/>
        </w:rPr>
      </w:pPr>
      <w:r w:rsidRPr="007264DC">
        <w:rPr>
          <w:rFonts w:eastAsia="Times New Roman" w:cs="Arial"/>
          <w:b/>
          <w:spacing w:val="-4"/>
          <w:lang w:eastAsia="cs-CZ"/>
        </w:rPr>
        <w:t>Shrnutí konzultace</w:t>
      </w:r>
    </w:p>
    <w:p w:rsidR="00671B7E" w:rsidRPr="007264DC" w:rsidRDefault="00671B7E" w:rsidP="007264DC">
      <w:pPr>
        <w:keepNext/>
        <w:spacing w:line="240" w:lineRule="auto"/>
        <w:rPr>
          <w:rFonts w:eastAsia="Times New Roman" w:cs="Arial"/>
          <w:spacing w:val="-4"/>
          <w:lang w:eastAsia="cs-CZ"/>
        </w:rPr>
      </w:pPr>
      <w:r w:rsidRPr="007264DC">
        <w:rPr>
          <w:rFonts w:eastAsia="Times New Roman" w:cs="Arial"/>
          <w:spacing w:val="-4"/>
          <w:lang w:eastAsia="cs-CZ"/>
        </w:rPr>
        <w:t>Z provedené konzultace nevyplývá zájem o využití uvedené diskrece. Mimo to se však navrhuje, aby byla navrhovaná povinnost zavedena pouze jako volitelná možnost, kterou by emitenti mohli v případě zájmu využít.</w:t>
      </w:r>
    </w:p>
    <w:p w:rsidR="003A47E2" w:rsidRPr="007264DC" w:rsidRDefault="003A47E2" w:rsidP="007264DC">
      <w:pPr>
        <w:keepNext/>
        <w:spacing w:before="360" w:line="240" w:lineRule="auto"/>
        <w:rPr>
          <w:rFonts w:eastAsia="Times New Roman" w:cs="Arial"/>
          <w:b/>
          <w:bCs/>
          <w:lang w:eastAsia="x-none"/>
        </w:rPr>
      </w:pPr>
      <w:r w:rsidRPr="007264DC">
        <w:rPr>
          <w:rFonts w:eastAsia="Times New Roman" w:cs="Arial"/>
          <w:b/>
          <w:bCs/>
          <w:lang w:eastAsia="x-none"/>
        </w:rPr>
        <w:t>2.3 Dluhopisy bez prospektu nabízené drobným (retailovým) investorům</w:t>
      </w:r>
    </w:p>
    <w:p w:rsidR="00DA07DC" w:rsidRPr="007264DC" w:rsidRDefault="00DA07DC" w:rsidP="007264DC">
      <w:pPr>
        <w:keepNext/>
        <w:spacing w:before="240" w:line="240" w:lineRule="auto"/>
        <w:rPr>
          <w:rFonts w:eastAsia="Times New Roman" w:cs="Arial"/>
          <w:b/>
          <w:spacing w:val="-4"/>
          <w:lang w:eastAsia="cs-CZ"/>
        </w:rPr>
      </w:pPr>
      <w:r w:rsidRPr="007264DC">
        <w:rPr>
          <w:rFonts w:eastAsia="Times New Roman" w:cs="Arial"/>
          <w:b/>
          <w:spacing w:val="-4"/>
          <w:lang w:eastAsia="cs-CZ"/>
        </w:rPr>
        <w:t>Ochrana drobných (retailových) in</w:t>
      </w:r>
      <w:r w:rsidR="007264DC">
        <w:rPr>
          <w:rFonts w:eastAsia="Times New Roman" w:cs="Arial"/>
          <w:b/>
          <w:spacing w:val="-4"/>
          <w:lang w:eastAsia="cs-CZ"/>
        </w:rPr>
        <w:t>vestorů v případě dluhopisů bez </w:t>
      </w:r>
      <w:r w:rsidRPr="007264DC">
        <w:rPr>
          <w:rFonts w:eastAsia="Times New Roman" w:cs="Arial"/>
          <w:b/>
          <w:spacing w:val="-4"/>
          <w:lang w:eastAsia="cs-CZ"/>
        </w:rPr>
        <w:t>prospektu</w:t>
      </w:r>
    </w:p>
    <w:p w:rsidR="00DA07DC" w:rsidRPr="007264DC" w:rsidRDefault="00DA07DC" w:rsidP="007264DC">
      <w:pPr>
        <w:keepNext/>
        <w:spacing w:line="240" w:lineRule="auto"/>
        <w:contextualSpacing/>
        <w:rPr>
          <w:rFonts w:eastAsia="Times New Roman" w:cs="Arial"/>
          <w:spacing w:val="-4"/>
          <w:lang w:eastAsia="cs-CZ"/>
        </w:rPr>
      </w:pPr>
      <w:r w:rsidRPr="007264DC">
        <w:rPr>
          <w:rFonts w:eastAsia="Times New Roman" w:cs="Arial"/>
          <w:spacing w:val="-4"/>
          <w:lang w:eastAsia="cs-CZ"/>
        </w:rPr>
        <w:t xml:space="preserve">V případech nabízení dluhopisů drobným (retailovým) investorům, které využívají různých výjimek z povinnosti uveřejnit prospekt, představují hlavní zdroj informací pro investora emisní podmínky.  V souvislosti s emisními podmínkami je třeba upozornit na skutečnost, že ačkoliv emisní podmínky dluhopisů dle požadavků ZoDluh obsahují dostatek informací o vydávaných dluhopisech, neobsahují téměř žádné informace o emitentovi a o jeho schopnosti splácet, což vyvolává určité pochyby o jejich dostatečné způsobilosti k ochraně investorů. </w:t>
      </w:r>
    </w:p>
    <w:p w:rsidR="00DA07DC" w:rsidRPr="007264DC" w:rsidRDefault="00DA07DC" w:rsidP="007264DC">
      <w:pPr>
        <w:keepNext/>
        <w:spacing w:line="240" w:lineRule="auto"/>
        <w:contextualSpacing/>
        <w:rPr>
          <w:rFonts w:eastAsia="Times New Roman" w:cs="Arial"/>
          <w:spacing w:val="-4"/>
          <w:lang w:eastAsia="cs-CZ"/>
        </w:rPr>
      </w:pPr>
      <w:r w:rsidRPr="007264DC">
        <w:rPr>
          <w:rFonts w:eastAsia="Times New Roman" w:cs="Arial"/>
          <w:spacing w:val="-4"/>
          <w:lang w:eastAsia="cs-CZ"/>
        </w:rPr>
        <w:t>K řešení problému absentujících informací o emitentovi v emisních podmínkách se nabízí inspirace novou úpravou shrnutí prospektu dle nařízení o prospektu. Ten se z hlediska obsahu dělí na čtyři části: úvod, informace o emitentovi, informace o cenných papírech a informace o veřejné nabídce nebo přijetí k obchodování na regulovaný trh. Oproti emisním podmínkám tedy shrnutí prospektu obsahuje i údaje o emitentovi a je nově pojato jako standardizované sdělení klíčových informací s pevně stanoveným formátem a rozsahem maximálně 7 stran ve formátu A4 (neuplatní-li se někte</w:t>
      </w:r>
      <w:r w:rsidR="007264DC">
        <w:rPr>
          <w:rFonts w:eastAsia="Times New Roman" w:cs="Arial"/>
          <w:spacing w:val="-4"/>
          <w:lang w:eastAsia="cs-CZ"/>
        </w:rPr>
        <w:t>ré výjimky umožňující rozsah ve </w:t>
      </w:r>
      <w:r w:rsidRPr="007264DC">
        <w:rPr>
          <w:rFonts w:eastAsia="Times New Roman" w:cs="Arial"/>
          <w:spacing w:val="-4"/>
          <w:lang w:eastAsia="cs-CZ"/>
        </w:rPr>
        <w:t>specifických případech rozšířit). Shrnutí prospektu představuje strukturovaný souhrn nejdůležitějších informací včetně informací ohledně rizik spojených s danou investicí, po jehož přečtení má být drobný (retailový) investor schopen učinit informované rozhodnutí o investici, aniž by musel číst celý prospekt. Pro ochranu zájmů drobných (retailových) investorů se tak shrnutí prospektu jeví jako nejvhodnější nástroj, ať už z pohledu srozumitelnosti vyplývající ze samotné koncepce shrnutí, tak i z pohledu obsahu, neboť zde, na rozdíl od emisních podmínek, nechybí informace o emitentovi.</w:t>
      </w:r>
    </w:p>
    <w:p w:rsidR="00DA07DC" w:rsidRPr="007264DC" w:rsidRDefault="00DA07DC" w:rsidP="007264DC">
      <w:pPr>
        <w:keepNext/>
        <w:spacing w:line="240" w:lineRule="auto"/>
        <w:contextualSpacing/>
        <w:rPr>
          <w:rFonts w:eastAsia="Times New Roman" w:cs="Arial"/>
          <w:spacing w:val="-4"/>
          <w:lang w:eastAsia="cs-CZ"/>
        </w:rPr>
      </w:pPr>
      <w:r w:rsidRPr="007264DC">
        <w:rPr>
          <w:rFonts w:eastAsia="Times New Roman" w:cs="Arial"/>
          <w:b/>
          <w:spacing w:val="-4"/>
          <w:lang w:eastAsia="cs-CZ"/>
        </w:rPr>
        <w:t>Platná právní úprava</w:t>
      </w:r>
    </w:p>
    <w:p w:rsidR="00DA07DC" w:rsidRPr="007264DC" w:rsidRDefault="00DA07DC" w:rsidP="007264DC">
      <w:pPr>
        <w:keepNext/>
        <w:spacing w:line="240" w:lineRule="auto"/>
        <w:contextualSpacing/>
        <w:rPr>
          <w:rFonts w:eastAsia="Times New Roman" w:cs="Arial"/>
          <w:spacing w:val="-4"/>
          <w:lang w:eastAsia="cs-CZ"/>
        </w:rPr>
      </w:pPr>
      <w:r w:rsidRPr="007264DC">
        <w:rPr>
          <w:rFonts w:eastAsia="Times New Roman" w:cs="Arial"/>
          <w:spacing w:val="-4"/>
          <w:lang w:eastAsia="cs-CZ"/>
        </w:rPr>
        <w:t xml:space="preserve">Stávající právní úprava ukládá emitentům, na které se vztahuje výjimka z povinnosti uveřejnit prospekt, pouze povinnost vyhotovit emisní podmínky. </w:t>
      </w:r>
    </w:p>
    <w:p w:rsidR="00DA07DC" w:rsidRPr="007264DC" w:rsidRDefault="00DA07DC" w:rsidP="007264DC">
      <w:pPr>
        <w:keepNext/>
        <w:spacing w:line="240" w:lineRule="auto"/>
        <w:contextualSpacing/>
        <w:rPr>
          <w:rFonts w:eastAsia="Times New Roman" w:cs="Arial"/>
          <w:b/>
          <w:spacing w:val="-4"/>
          <w:lang w:eastAsia="cs-CZ"/>
        </w:rPr>
      </w:pPr>
      <w:r w:rsidRPr="007264DC">
        <w:rPr>
          <w:rFonts w:eastAsia="Times New Roman" w:cs="Arial"/>
          <w:b/>
          <w:spacing w:val="-4"/>
          <w:lang w:eastAsia="cs-CZ"/>
        </w:rPr>
        <w:t>Návrh variant řešení</w:t>
      </w:r>
    </w:p>
    <w:p w:rsidR="00DA07DC" w:rsidRPr="007264DC" w:rsidRDefault="00DA07DC" w:rsidP="007264DC">
      <w:pPr>
        <w:keepNext/>
        <w:spacing w:line="240" w:lineRule="auto"/>
        <w:contextualSpacing/>
        <w:rPr>
          <w:rFonts w:eastAsia="Times New Roman" w:cs="Arial"/>
          <w:spacing w:val="-4"/>
          <w:lang w:eastAsia="cs-CZ"/>
        </w:rPr>
      </w:pPr>
      <w:r w:rsidRPr="007264DC">
        <w:rPr>
          <w:rFonts w:eastAsia="Times New Roman" w:cs="Arial"/>
          <w:spacing w:val="-4"/>
          <w:lang w:eastAsia="cs-CZ"/>
        </w:rPr>
        <w:t>Jsou zvažovány 2 varianty řešení:</w:t>
      </w:r>
    </w:p>
    <w:p w:rsidR="00DA07DC" w:rsidRPr="007264DC" w:rsidRDefault="00DA07DC" w:rsidP="007264DC">
      <w:pPr>
        <w:keepNext/>
        <w:numPr>
          <w:ilvl w:val="0"/>
          <w:numId w:val="38"/>
        </w:numPr>
        <w:spacing w:before="0" w:after="200" w:line="240" w:lineRule="auto"/>
        <w:contextualSpacing/>
        <w:jc w:val="left"/>
        <w:rPr>
          <w:rFonts w:eastAsia="Times New Roman" w:cs="Arial"/>
          <w:spacing w:val="-4"/>
          <w:lang w:eastAsia="cs-CZ"/>
        </w:rPr>
      </w:pPr>
      <w:r w:rsidRPr="007264DC">
        <w:rPr>
          <w:rFonts w:eastAsia="Times New Roman" w:cs="Arial"/>
          <w:spacing w:val="-4"/>
          <w:lang w:eastAsia="cs-CZ"/>
        </w:rPr>
        <w:t>Varianta 0 - zachovat stávající stav</w:t>
      </w:r>
    </w:p>
    <w:p w:rsidR="00DA07DC" w:rsidRPr="007264DC" w:rsidRDefault="00DA07DC" w:rsidP="007264DC">
      <w:pPr>
        <w:keepNext/>
        <w:numPr>
          <w:ilvl w:val="0"/>
          <w:numId w:val="38"/>
        </w:numPr>
        <w:spacing w:before="0" w:after="200" w:line="240" w:lineRule="auto"/>
        <w:contextualSpacing/>
        <w:jc w:val="left"/>
        <w:rPr>
          <w:rFonts w:eastAsia="Times New Roman" w:cs="Arial"/>
          <w:spacing w:val="-4"/>
          <w:lang w:eastAsia="cs-CZ"/>
        </w:rPr>
      </w:pPr>
      <w:r w:rsidRPr="007264DC">
        <w:rPr>
          <w:rFonts w:eastAsia="Times New Roman" w:cs="Arial"/>
          <w:spacing w:val="-4"/>
          <w:lang w:eastAsia="cs-CZ"/>
        </w:rPr>
        <w:t>Varianta 1 – uložit emitentům povinnost vyhotovit dokument srovnatelný se shrnutím prospektu u všech emisí dluhopisů nabízených drobným (retailovým) investorům v případech, kdy povinnost vyhotovit prospekt nevzniká</w:t>
      </w:r>
    </w:p>
    <w:p w:rsidR="00DA07DC" w:rsidRPr="007264DC" w:rsidRDefault="00DA07DC" w:rsidP="007264DC">
      <w:pPr>
        <w:keepNext/>
        <w:spacing w:line="240" w:lineRule="auto"/>
        <w:rPr>
          <w:rFonts w:eastAsia="Times New Roman" w:cs="Arial"/>
          <w:b/>
          <w:spacing w:val="-4"/>
          <w:lang w:eastAsia="cs-CZ"/>
        </w:rPr>
      </w:pPr>
      <w:r w:rsidRPr="007264DC">
        <w:rPr>
          <w:rFonts w:eastAsia="Times New Roman" w:cs="Arial"/>
          <w:b/>
          <w:spacing w:val="-4"/>
          <w:lang w:eastAsia="cs-CZ"/>
        </w:rPr>
        <w:t>Varianta 0 - zachování stávajícího stavu</w:t>
      </w:r>
    </w:p>
    <w:p w:rsidR="00DA07DC" w:rsidRPr="007264DC" w:rsidRDefault="00DA07DC" w:rsidP="007264DC">
      <w:pPr>
        <w:keepNext/>
        <w:spacing w:line="240" w:lineRule="auto"/>
        <w:rPr>
          <w:rFonts w:eastAsia="Times New Roman" w:cs="Arial"/>
          <w:spacing w:val="-4"/>
          <w:lang w:eastAsia="cs-CZ"/>
        </w:rPr>
      </w:pPr>
      <w:r w:rsidRPr="007264DC">
        <w:rPr>
          <w:rFonts w:eastAsia="Times New Roman" w:cs="Arial"/>
          <w:spacing w:val="-4"/>
          <w:lang w:eastAsia="cs-CZ"/>
        </w:rPr>
        <w:t>Stávající stav není příliš nakloněn ochraně drobných (retailových) investorů v případech, kdy jsou jim nabízeny</w:t>
      </w:r>
      <w:r w:rsidRPr="007264DC">
        <w:rPr>
          <w:rFonts w:eastAsiaTheme="minorEastAsia" w:cs="Arial"/>
          <w:lang w:eastAsia="cs-CZ"/>
        </w:rPr>
        <w:t xml:space="preserve"> </w:t>
      </w:r>
      <w:r w:rsidRPr="007264DC">
        <w:rPr>
          <w:rFonts w:eastAsia="Times New Roman" w:cs="Arial"/>
          <w:spacing w:val="-4"/>
          <w:lang w:eastAsia="cs-CZ"/>
        </w:rPr>
        <w:t>dluhopisy, kt</w:t>
      </w:r>
      <w:r w:rsidR="007264DC">
        <w:rPr>
          <w:rFonts w:eastAsia="Times New Roman" w:cs="Arial"/>
          <w:spacing w:val="-4"/>
          <w:lang w:eastAsia="cs-CZ"/>
        </w:rPr>
        <w:t>eré využívají různých výjimek z </w:t>
      </w:r>
      <w:r w:rsidRPr="007264DC">
        <w:rPr>
          <w:rFonts w:eastAsia="Times New Roman" w:cs="Arial"/>
          <w:spacing w:val="-4"/>
          <w:lang w:eastAsia="cs-CZ"/>
        </w:rPr>
        <w:t>povinnosti uveřejnit prospekt. Emisní podmínky dle požadavků ZoDluh přitom neposkytují komplexní spektrum informací, které by potenciálnímu investorovi měly být k dispozici, aby byl schopen</w:t>
      </w:r>
      <w:r w:rsidRPr="007264DC">
        <w:rPr>
          <w:rFonts w:eastAsiaTheme="minorEastAsia" w:cs="Arial"/>
          <w:lang w:eastAsia="cs-CZ"/>
        </w:rPr>
        <w:t xml:space="preserve"> </w:t>
      </w:r>
      <w:r w:rsidRPr="007264DC">
        <w:rPr>
          <w:rFonts w:eastAsia="Times New Roman" w:cs="Arial"/>
          <w:spacing w:val="-4"/>
          <w:lang w:eastAsia="cs-CZ"/>
        </w:rPr>
        <w:t>učinit informované rozhodnutí o investici.</w:t>
      </w:r>
    </w:p>
    <w:tbl>
      <w:tblPr>
        <w:tblpPr w:leftFromText="141" w:rightFromText="141" w:vertAnchor="text" w:horzAnchor="margin" w:tblpY="45"/>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83"/>
        <w:gridCol w:w="4531"/>
      </w:tblGrid>
      <w:tr w:rsidR="00DA07DC" w:rsidRPr="007264DC" w:rsidTr="00F04400">
        <w:trPr>
          <w:trHeight w:val="1239"/>
        </w:trPr>
        <w:tc>
          <w:tcPr>
            <w:tcW w:w="4428" w:type="dxa"/>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Aspekt</w:t>
            </w:r>
          </w:p>
        </w:tc>
        <w:tc>
          <w:tcPr>
            <w:tcW w:w="4860" w:type="dxa"/>
            <w:tcBorders>
              <w:top w:val="nil"/>
            </w:tcBorders>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Důsledek</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bl>
    <w:p w:rsidR="00DA07DC" w:rsidRPr="007264DC" w:rsidRDefault="00DA07DC" w:rsidP="007264DC">
      <w:pPr>
        <w:keepNext/>
        <w:spacing w:line="240" w:lineRule="auto"/>
        <w:rPr>
          <w:rFonts w:eastAsia="Times New Roman" w:cs="Arial"/>
          <w:b/>
          <w:spacing w:val="-4"/>
          <w:lang w:eastAsia="cs-CZ"/>
        </w:rPr>
      </w:pPr>
      <w:r w:rsidRPr="007264DC">
        <w:rPr>
          <w:rFonts w:eastAsia="Times New Roman" w:cs="Arial"/>
          <w:b/>
          <w:spacing w:val="-4"/>
          <w:lang w:eastAsia="cs-CZ"/>
        </w:rPr>
        <w:t>Varianta 1 - uložení povinnosti emitentům vyhotovit dokument srovnatelný se shrnutím prospektu u všech emisí dluhopisů nabízených drobným (retailovým) investorům v případech, kdy povinnost vyhotovit prospekt nevzniká</w:t>
      </w:r>
    </w:p>
    <w:p w:rsidR="00DA07DC" w:rsidRPr="007264DC" w:rsidRDefault="00DA07DC"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Tato varianta by oproti stávajícímu stavu rozšířila rozsah informací, které je emitent povinen poskytovat a přispěla by tak, alespoň v teoretické rovině, k větší ochraně investorů. </w:t>
      </w:r>
    </w:p>
    <w:tbl>
      <w:tblPr>
        <w:tblpPr w:leftFromText="141" w:rightFromText="141" w:vertAnchor="text" w:horzAnchor="margin" w:tblpY="108"/>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83"/>
        <w:gridCol w:w="4531"/>
      </w:tblGrid>
      <w:tr w:rsidR="00DA07DC" w:rsidRPr="007264DC" w:rsidTr="00F04400">
        <w:trPr>
          <w:trHeight w:val="1239"/>
        </w:trPr>
        <w:tc>
          <w:tcPr>
            <w:tcW w:w="4428" w:type="dxa"/>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Aspekt</w:t>
            </w:r>
          </w:p>
        </w:tc>
        <w:tc>
          <w:tcPr>
            <w:tcW w:w="4860" w:type="dxa"/>
            <w:tcBorders>
              <w:top w:val="nil"/>
            </w:tcBorders>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Důsledek</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 významu</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změněna </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zvýšena</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spíše beze změny</w:t>
            </w:r>
          </w:p>
        </w:tc>
      </w:tr>
    </w:tbl>
    <w:p w:rsidR="00DA07DC" w:rsidRPr="007264DC" w:rsidRDefault="00DA07DC" w:rsidP="007264DC">
      <w:pPr>
        <w:widowControl w:val="0"/>
        <w:spacing w:line="240" w:lineRule="auto"/>
        <w:rPr>
          <w:rFonts w:eastAsia="Times New Roman" w:cs="Arial"/>
          <w:b/>
          <w:spacing w:val="-4"/>
          <w:lang w:eastAsia="cs-CZ"/>
        </w:rPr>
      </w:pPr>
      <w:r w:rsidRPr="007264DC">
        <w:rPr>
          <w:rFonts w:eastAsia="Times New Roman" w:cs="Arial"/>
          <w:b/>
          <w:spacing w:val="-4"/>
          <w:lang w:eastAsia="cs-CZ"/>
        </w:rPr>
        <w:t>Návrh nejvhodnějšího řešení</w:t>
      </w:r>
    </w:p>
    <w:p w:rsidR="00DA07DC" w:rsidRPr="007264DC" w:rsidRDefault="00DA07DC" w:rsidP="007264DC">
      <w:pPr>
        <w:widowControl w:val="0"/>
        <w:spacing w:line="240" w:lineRule="auto"/>
        <w:rPr>
          <w:rFonts w:eastAsia="Times New Roman" w:cs="Arial"/>
          <w:spacing w:val="-4"/>
          <w:lang w:eastAsia="cs-CZ"/>
        </w:rPr>
      </w:pPr>
      <w:r w:rsidRPr="007264DC">
        <w:rPr>
          <w:rFonts w:eastAsia="Times New Roman" w:cs="Arial"/>
          <w:spacing w:val="-4"/>
          <w:lang w:eastAsia="cs-CZ"/>
        </w:rPr>
        <w:t>Z časového hlediska vychází jako nejlepší řešení nevyužití diskrece. To nicméně neuzavírá diskuzi o ochraně investorů a jejím případném zvýšení do budoucna. Navrhovaná řešení do budoucna byla naznačena v konzultačním materiálu a následných příspěvcích účastníků.</w:t>
      </w:r>
    </w:p>
    <w:p w:rsidR="00DA07DC" w:rsidRPr="007264DC" w:rsidRDefault="00DA07DC" w:rsidP="007264DC">
      <w:pPr>
        <w:widowControl w:val="0"/>
        <w:spacing w:line="240" w:lineRule="auto"/>
        <w:rPr>
          <w:rFonts w:eastAsia="Times New Roman" w:cs="Arial"/>
          <w:spacing w:val="-4"/>
          <w:lang w:eastAsia="cs-CZ"/>
        </w:rPr>
      </w:pPr>
      <w:r w:rsidRPr="007264DC">
        <w:rPr>
          <w:rFonts w:eastAsia="Calibri" w:cs="Arial"/>
          <w:b/>
          <w:lang w:eastAsia="x-none"/>
        </w:rPr>
        <w:t>Vy</w:t>
      </w:r>
      <w:r w:rsidRPr="007264DC">
        <w:rPr>
          <w:rFonts w:eastAsia="Calibri" w:cs="Arial"/>
          <w:b/>
          <w:lang w:val="x-none" w:eastAsia="x-none"/>
        </w:rPr>
        <w:t xml:space="preserve">hodnocení zvoleného řešení </w:t>
      </w:r>
      <w:r w:rsidRPr="007264DC">
        <w:rPr>
          <w:rFonts w:eastAsia="Calibri" w:cs="Arial"/>
          <w:b/>
          <w:lang w:eastAsia="x-none"/>
        </w:rPr>
        <w:t>z hlediska přínosů a nákladů</w:t>
      </w:r>
    </w:p>
    <w:p w:rsidR="00DA07DC" w:rsidRPr="007264DC" w:rsidRDefault="00DA07DC" w:rsidP="007264DC">
      <w:pPr>
        <w:keepNext/>
        <w:spacing w:line="240" w:lineRule="auto"/>
        <w:rPr>
          <w:rFonts w:eastAsia="Calibri" w:cs="Arial"/>
          <w:b/>
          <w:lang w:eastAsia="x-none"/>
        </w:rPr>
      </w:pPr>
    </w:p>
    <w:tbl>
      <w:tblPr>
        <w:tblpPr w:leftFromText="141" w:rightFromText="141" w:vertAnchor="text" w:horzAnchor="margin" w:tblpY="-40"/>
        <w:tblW w:w="0" w:type="auto"/>
        <w:tblBorders>
          <w:insideH w:val="single" w:sz="18" w:space="0" w:color="FFFFFF"/>
          <w:insideV w:val="single" w:sz="18" w:space="0" w:color="FFFFFF"/>
        </w:tblBorders>
        <w:shd w:val="clear" w:color="auto" w:fill="6699FF"/>
        <w:tblLook w:val="00A0" w:firstRow="1" w:lastRow="0" w:firstColumn="1" w:lastColumn="0" w:noHBand="0" w:noVBand="0"/>
      </w:tblPr>
      <w:tblGrid>
        <w:gridCol w:w="4159"/>
        <w:gridCol w:w="4555"/>
      </w:tblGrid>
      <w:tr w:rsidR="00DA07DC" w:rsidRPr="007264DC" w:rsidTr="00F04400">
        <w:trPr>
          <w:trHeight w:val="454"/>
        </w:trPr>
        <w:tc>
          <w:tcPr>
            <w:tcW w:w="4428" w:type="dxa"/>
            <w:vMerge w:val="restart"/>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Dopad</w:t>
            </w:r>
          </w:p>
        </w:tc>
        <w:tc>
          <w:tcPr>
            <w:tcW w:w="4860" w:type="dxa"/>
            <w:tcBorders>
              <w:top w:val="nil"/>
              <w:bottom w:val="single" w:sz="18" w:space="0" w:color="FFFFFF"/>
            </w:tcBorders>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r w:rsidRPr="007264DC">
              <w:rPr>
                <w:rFonts w:eastAsia="Times New Roman" w:cs="Arial"/>
                <w:b/>
                <w:bCs/>
                <w:color w:val="FFFFFF"/>
                <w:lang w:eastAsia="cs-CZ"/>
              </w:rPr>
              <w:t>Výsledná varianta</w:t>
            </w:r>
          </w:p>
        </w:tc>
      </w:tr>
      <w:tr w:rsidR="00DA07DC" w:rsidRPr="007264DC" w:rsidTr="00F04400">
        <w:trPr>
          <w:trHeight w:val="454"/>
        </w:trPr>
        <w:tc>
          <w:tcPr>
            <w:tcW w:w="4428" w:type="dxa"/>
            <w:vMerge/>
            <w:tcBorders>
              <w:bottom w:val="single" w:sz="18" w:space="0" w:color="FFFFFF"/>
            </w:tcBorders>
            <w:shd w:val="clear" w:color="auto" w:fill="000066"/>
            <w:vAlign w:val="center"/>
          </w:tcPr>
          <w:p w:rsidR="00DA07DC" w:rsidRPr="007264DC" w:rsidRDefault="00DA07DC" w:rsidP="007264DC">
            <w:pPr>
              <w:keepNext/>
              <w:spacing w:line="240" w:lineRule="auto"/>
              <w:jc w:val="left"/>
              <w:rPr>
                <w:rFonts w:eastAsia="Times New Roman" w:cs="Arial"/>
                <w:b/>
                <w:bCs/>
                <w:color w:val="FFFFFF"/>
                <w:lang w:eastAsia="cs-CZ"/>
              </w:rPr>
            </w:pPr>
          </w:p>
        </w:tc>
        <w:tc>
          <w:tcPr>
            <w:tcW w:w="4860" w:type="dxa"/>
            <w:tcBorders>
              <w:top w:val="nil"/>
              <w:bottom w:val="single" w:sz="18" w:space="0" w:color="FFFFFF"/>
            </w:tcBorders>
            <w:shd w:val="clear" w:color="auto" w:fill="000066"/>
            <w:vAlign w:val="center"/>
          </w:tcPr>
          <w:p w:rsidR="00DA07DC" w:rsidRPr="007264DC" w:rsidRDefault="00DA07DC" w:rsidP="007264DC">
            <w:pPr>
              <w:keepNext/>
              <w:spacing w:line="240" w:lineRule="auto"/>
              <w:rPr>
                <w:rFonts w:eastAsia="Times New Roman" w:cs="Arial"/>
                <w:b/>
                <w:bCs/>
                <w:color w:val="FFFFFF"/>
                <w:lang w:eastAsia="cs-CZ"/>
              </w:rPr>
            </w:pPr>
            <w:r w:rsidRPr="007264DC">
              <w:rPr>
                <w:rFonts w:eastAsia="Times New Roman" w:cs="Arial"/>
                <w:b/>
                <w:bCs/>
                <w:color w:val="FFFFFF"/>
                <w:lang w:eastAsia="cs-CZ"/>
              </w:rPr>
              <w:t>Varianta 0 - zachování stávajícího stavu</w:t>
            </w:r>
          </w:p>
        </w:tc>
      </w:tr>
      <w:tr w:rsidR="00DA07DC" w:rsidRPr="007264DC" w:rsidTr="00F04400">
        <w:trPr>
          <w:trHeight w:val="454"/>
        </w:trPr>
        <w:tc>
          <w:tcPr>
            <w:tcW w:w="9288" w:type="dxa"/>
            <w:gridSpan w:val="2"/>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Přínosy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 xml:space="preserve">Atraktivita České republiky </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Kontinuita regulatorního rámce</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Ochrana investorů</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Rozvoj trhu</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beze změny</w:t>
            </w:r>
          </w:p>
        </w:tc>
      </w:tr>
      <w:tr w:rsidR="00DA07DC" w:rsidRPr="007264DC" w:rsidTr="00F04400">
        <w:trPr>
          <w:trHeight w:val="454"/>
        </w:trPr>
        <w:tc>
          <w:tcPr>
            <w:tcW w:w="9288" w:type="dxa"/>
            <w:gridSpan w:val="2"/>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Náklady</w:t>
            </w:r>
          </w:p>
        </w:tc>
      </w:tr>
      <w:tr w:rsidR="00DA07DC" w:rsidRPr="007264DC" w:rsidTr="00F04400">
        <w:trPr>
          <w:trHeight w:val="454"/>
        </w:trPr>
        <w:tc>
          <w:tcPr>
            <w:tcW w:w="4428"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Náklady</w:t>
            </w:r>
          </w:p>
        </w:tc>
        <w:tc>
          <w:tcPr>
            <w:tcW w:w="4860" w:type="dxa"/>
            <w:tcBorders>
              <w:top w:val="single" w:sz="18" w:space="0" w:color="FFFFFF"/>
              <w:bottom w:val="single" w:sz="18" w:space="0" w:color="FFFFFF"/>
            </w:tcBorders>
            <w:shd w:val="clear" w:color="auto" w:fill="6699FF"/>
            <w:vAlign w:val="center"/>
          </w:tcPr>
          <w:p w:rsidR="00DA07DC" w:rsidRPr="007264DC" w:rsidRDefault="00DA07DC" w:rsidP="007264DC">
            <w:pPr>
              <w:keepNext/>
              <w:spacing w:line="240" w:lineRule="auto"/>
              <w:jc w:val="left"/>
              <w:rPr>
                <w:rFonts w:eastAsia="Times New Roman" w:cs="Arial"/>
                <w:b/>
                <w:color w:val="FFFFFF"/>
                <w:lang w:eastAsia="cs-CZ"/>
              </w:rPr>
            </w:pPr>
            <w:r w:rsidRPr="007264DC">
              <w:rPr>
                <w:rFonts w:eastAsia="Times New Roman" w:cs="Arial"/>
                <w:b/>
                <w:color w:val="FFFFFF"/>
                <w:lang w:eastAsia="cs-CZ"/>
              </w:rPr>
              <w:t>Zvolená varianta nepředstavuje povinné vynaložení nákladů</w:t>
            </w:r>
          </w:p>
        </w:tc>
      </w:tr>
    </w:tbl>
    <w:p w:rsidR="00DA07DC" w:rsidRPr="007264DC" w:rsidRDefault="00DA07DC" w:rsidP="007264DC">
      <w:pPr>
        <w:keepNext/>
        <w:spacing w:line="240" w:lineRule="auto"/>
        <w:rPr>
          <w:rFonts w:eastAsia="Times New Roman" w:cs="Arial"/>
          <w:spacing w:val="-4"/>
          <w:lang w:eastAsia="cs-CZ"/>
        </w:rPr>
      </w:pPr>
      <w:r w:rsidRPr="007264DC">
        <w:rPr>
          <w:rFonts w:eastAsia="Times New Roman" w:cs="Arial"/>
          <w:spacing w:val="-4"/>
          <w:lang w:eastAsia="cs-CZ"/>
        </w:rPr>
        <w:t>Konzultace č.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7560"/>
      </w:tblGrid>
      <w:tr w:rsidR="00DA07DC" w:rsidRPr="007264DC" w:rsidTr="00F04400">
        <w:tc>
          <w:tcPr>
            <w:tcW w:w="0" w:type="auto"/>
            <w:shd w:val="clear" w:color="auto" w:fill="0070C0"/>
          </w:tcPr>
          <w:p w:rsidR="00DA07DC" w:rsidRPr="007264DC" w:rsidRDefault="00DA07DC" w:rsidP="007264DC">
            <w:pPr>
              <w:keepNext/>
              <w:autoSpaceDE w:val="0"/>
              <w:autoSpaceDN w:val="0"/>
              <w:adjustRightInd w:val="0"/>
              <w:spacing w:line="240" w:lineRule="auto"/>
              <w:contextualSpacing/>
              <w:jc w:val="center"/>
              <w:rPr>
                <w:rFonts w:eastAsia="Times New Roman" w:cs="Arial"/>
                <w:color w:val="FFFFFF"/>
                <w:lang w:eastAsia="cs-CZ"/>
              </w:rPr>
            </w:pPr>
            <w:r w:rsidRPr="007264DC">
              <w:rPr>
                <w:rFonts w:eastAsia="Times New Roman" w:cs="Arial"/>
                <w:color w:val="FFFFFF"/>
                <w:lang w:eastAsia="cs-CZ"/>
              </w:rPr>
              <w:t>Otázka třetí</w:t>
            </w:r>
          </w:p>
        </w:tc>
        <w:tc>
          <w:tcPr>
            <w:tcW w:w="0" w:type="auto"/>
            <w:shd w:val="clear" w:color="auto" w:fill="00B0F0"/>
          </w:tcPr>
          <w:p w:rsidR="00DA07DC" w:rsidRPr="007264DC" w:rsidRDefault="00DA07DC" w:rsidP="007264DC">
            <w:pPr>
              <w:keepNext/>
              <w:autoSpaceDE w:val="0"/>
              <w:autoSpaceDN w:val="0"/>
              <w:adjustRightInd w:val="0"/>
              <w:spacing w:line="240" w:lineRule="auto"/>
              <w:contextualSpacing/>
              <w:rPr>
                <w:rFonts w:eastAsia="Times New Roman" w:cs="Arial"/>
                <w:color w:val="FFFFFF"/>
                <w:lang w:eastAsia="cs-CZ"/>
              </w:rPr>
            </w:pPr>
            <w:r w:rsidRPr="007264DC">
              <w:rPr>
                <w:rFonts w:eastAsia="Times New Roman" w:cs="Arial"/>
                <w:color w:val="FFFFFF"/>
                <w:lang w:eastAsia="cs-CZ"/>
              </w:rPr>
              <w:t>1. Navrhli byste posílit ochranu drobných (retailových) investorů v</w:t>
            </w:r>
            <w:r w:rsidR="007264DC">
              <w:rPr>
                <w:rFonts w:eastAsia="Times New Roman" w:cs="Arial"/>
                <w:color w:val="FFFFFF"/>
                <w:lang w:eastAsia="cs-CZ"/>
              </w:rPr>
              <w:t> </w:t>
            </w:r>
            <w:r w:rsidRPr="007264DC">
              <w:rPr>
                <w:rFonts w:eastAsia="Times New Roman" w:cs="Arial"/>
                <w:color w:val="FFFFFF"/>
                <w:lang w:eastAsia="cs-CZ"/>
              </w:rPr>
              <w:t>případě dluhopisů bez prospektu? Pokud ano, tak jak?</w:t>
            </w:r>
          </w:p>
          <w:p w:rsidR="00DA07DC" w:rsidRPr="007264DC" w:rsidRDefault="00DA07DC" w:rsidP="007264DC">
            <w:pPr>
              <w:keepNext/>
              <w:autoSpaceDE w:val="0"/>
              <w:autoSpaceDN w:val="0"/>
              <w:adjustRightInd w:val="0"/>
              <w:spacing w:line="240" w:lineRule="auto"/>
              <w:contextualSpacing/>
              <w:rPr>
                <w:rFonts w:eastAsia="Times New Roman" w:cs="Arial"/>
                <w:color w:val="FFFFFF"/>
                <w:lang w:eastAsia="cs-CZ"/>
              </w:rPr>
            </w:pPr>
            <w:r w:rsidRPr="007264DC">
              <w:rPr>
                <w:rFonts w:eastAsia="Times New Roman" w:cs="Arial"/>
                <w:color w:val="FFFFFF"/>
                <w:lang w:eastAsia="cs-CZ"/>
              </w:rPr>
              <w:t>2. Považovali byste za vhodné revidovat zákonnou úpravu obsahu emisních podmínek dluhopisů a jak? Své návrhy odůvodněte a doplňte poznatky z praxe nebo daty.</w:t>
            </w:r>
          </w:p>
        </w:tc>
      </w:tr>
    </w:tbl>
    <w:p w:rsidR="00DA07DC" w:rsidRPr="007264DC" w:rsidRDefault="00DA07DC" w:rsidP="007264DC">
      <w:pPr>
        <w:keepNext/>
        <w:autoSpaceDE w:val="0"/>
        <w:autoSpaceDN w:val="0"/>
        <w:adjustRightInd w:val="0"/>
        <w:spacing w:line="240" w:lineRule="auto"/>
        <w:jc w:val="left"/>
        <w:rPr>
          <w:rFonts w:eastAsiaTheme="minorHAnsi" w:cs="Arial"/>
          <w:color w:val="FFFFFF"/>
        </w:rPr>
      </w:pPr>
      <w:r w:rsidRPr="007264DC">
        <w:rPr>
          <w:rFonts w:eastAsiaTheme="minorHAnsi" w:cs="Arial"/>
          <w:color w:val="FFFFFF"/>
        </w:rPr>
        <w:t xml:space="preserve">povinně vykonávat nebo </w:t>
      </w:r>
    </w:p>
    <w:p w:rsidR="00DA07DC" w:rsidRPr="007264DC" w:rsidRDefault="00DA07DC" w:rsidP="007264DC">
      <w:pPr>
        <w:keepNext/>
        <w:spacing w:line="240" w:lineRule="auto"/>
        <w:rPr>
          <w:rFonts w:eastAsia="Times New Roman" w:cs="Arial"/>
          <w:b/>
          <w:spacing w:val="-4"/>
          <w:lang w:eastAsia="x-none"/>
        </w:rPr>
      </w:pPr>
      <w:r w:rsidRPr="007264DC">
        <w:rPr>
          <w:rFonts w:eastAsia="Times New Roman" w:cs="Arial"/>
          <w:b/>
          <w:spacing w:val="-4"/>
          <w:lang w:val="x-none" w:eastAsia="x-none"/>
        </w:rPr>
        <w:t xml:space="preserve">Výsledky </w:t>
      </w:r>
      <w:r w:rsidRPr="007264DC">
        <w:rPr>
          <w:rFonts w:eastAsia="Times New Roman" w:cs="Arial"/>
          <w:b/>
          <w:spacing w:val="-4"/>
          <w:lang w:eastAsia="cs-CZ"/>
        </w:rPr>
        <w:t>konzultace</w:t>
      </w:r>
      <w:r w:rsidRPr="007264DC">
        <w:rPr>
          <w:rFonts w:eastAsia="Times New Roman" w:cs="Arial"/>
          <w:b/>
          <w:spacing w:val="-4"/>
          <w:lang w:eastAsia="x-none"/>
        </w:rPr>
        <w:t xml:space="preserve"> č. 3:</w:t>
      </w:r>
    </w:p>
    <w:p w:rsidR="00DA07DC" w:rsidRPr="007264DC" w:rsidRDefault="00DA07DC" w:rsidP="007264DC">
      <w:pPr>
        <w:keepNext/>
        <w:spacing w:line="240" w:lineRule="auto"/>
        <w:rPr>
          <w:rFonts w:eastAsia="Times New Roman" w:cs="Arial"/>
          <w:spacing w:val="-4"/>
          <w:lang w:eastAsia="x-none"/>
        </w:rPr>
      </w:pPr>
      <w:r w:rsidRPr="007264DC">
        <w:rPr>
          <w:rFonts w:eastAsia="Times New Roman" w:cs="Arial"/>
          <w:b/>
          <w:spacing w:val="-4"/>
          <w:lang w:eastAsia="x-none"/>
        </w:rPr>
        <w:t>Česká národní banka</w:t>
      </w:r>
      <w:r w:rsidRPr="007264DC">
        <w:rPr>
          <w:rFonts w:eastAsia="Times New Roman" w:cs="Arial"/>
          <w:spacing w:val="-4"/>
          <w:lang w:eastAsia="x-none"/>
        </w:rPr>
        <w:t xml:space="preserve">: </w:t>
      </w:r>
    </w:p>
    <w:p w:rsidR="00DA07DC" w:rsidRPr="007264DC" w:rsidRDefault="00DA07DC" w:rsidP="007264DC">
      <w:pPr>
        <w:keepNext/>
        <w:spacing w:line="240" w:lineRule="auto"/>
        <w:rPr>
          <w:rFonts w:eastAsia="Times New Roman" w:cs="Arial"/>
          <w:i/>
          <w:spacing w:val="-4"/>
          <w:lang w:eastAsia="cs-CZ"/>
        </w:rPr>
      </w:pPr>
      <w:r w:rsidRPr="007264DC">
        <w:rPr>
          <w:rFonts w:eastAsia="Times New Roman" w:cs="Arial"/>
          <w:spacing w:val="-4"/>
          <w:lang w:eastAsia="x-none"/>
        </w:rPr>
        <w:t>1. „</w:t>
      </w:r>
      <w:r w:rsidRPr="007264DC">
        <w:rPr>
          <w:rFonts w:eastAsia="Times New Roman" w:cs="Arial"/>
          <w:i/>
          <w:spacing w:val="-4"/>
          <w:lang w:eastAsia="cs-CZ"/>
        </w:rPr>
        <w:t>Jako případné řešení pro další diskusi prot</w:t>
      </w:r>
      <w:r w:rsidR="007264DC">
        <w:rPr>
          <w:rFonts w:eastAsia="Times New Roman" w:cs="Arial"/>
          <w:i/>
          <w:spacing w:val="-4"/>
          <w:lang w:eastAsia="cs-CZ"/>
        </w:rPr>
        <w:t>o vidíme rozšíření požadavků na </w:t>
      </w:r>
      <w:r w:rsidRPr="007264DC">
        <w:rPr>
          <w:rFonts w:eastAsia="Times New Roman" w:cs="Arial"/>
          <w:i/>
          <w:spacing w:val="-4"/>
          <w:lang w:eastAsia="cs-CZ"/>
        </w:rPr>
        <w:t>informace obsažené v emisních podmínkách v zákoně o dluhopisech (podle vzoru shrnutí prospektu v nařízení o prospektu). Tím bychom posílili ochranu retailových investorů v případě dluhopisů bez prospektu. Zájemce o nákup dluhopisů (ať již bez prospektu či s prospektem) by měl dále obdržet nezkreslenou informaci o úloze a pravomocích České národní banky v této oblasti.</w:t>
      </w:r>
      <w:r w:rsidRPr="007264DC">
        <w:rPr>
          <w:rFonts w:eastAsia="Times New Roman" w:cs="Arial"/>
          <w:i/>
          <w:spacing w:val="-4"/>
          <w:vertAlign w:val="superscript"/>
          <w:lang w:eastAsia="cs-CZ"/>
        </w:rPr>
        <w:footnoteReference w:id="1"/>
      </w:r>
      <w:r w:rsidRPr="007264DC">
        <w:rPr>
          <w:rFonts w:eastAsia="Times New Roman" w:cs="Arial"/>
          <w:i/>
          <w:spacing w:val="-4"/>
          <w:lang w:eastAsia="cs-CZ"/>
        </w:rPr>
        <w:t>“</w:t>
      </w:r>
    </w:p>
    <w:p w:rsidR="00DA07DC" w:rsidRPr="007264DC" w:rsidRDefault="00DA07DC" w:rsidP="007264DC">
      <w:pPr>
        <w:keepNext/>
        <w:spacing w:line="240" w:lineRule="auto"/>
        <w:rPr>
          <w:rFonts w:eastAsia="Times New Roman" w:cs="Arial"/>
          <w:i/>
          <w:spacing w:val="-4"/>
          <w:lang w:eastAsia="cs-CZ"/>
        </w:rPr>
      </w:pPr>
      <w:r w:rsidRPr="007264DC">
        <w:rPr>
          <w:rFonts w:eastAsia="Times New Roman" w:cs="Arial"/>
          <w:i/>
          <w:spacing w:val="-4"/>
          <w:lang w:eastAsia="cs-CZ"/>
        </w:rPr>
        <w:t>2. „Domníváme se obecně, že zásadní protichůdné změny regulace (liberalizace právní úpravy v zákoně o dluhopisech v roce 2012, přičemž Ministerstvo financí nyní navrhuje znovu zpřísnění) nepřispívají ke stabilitě právní úpravy a podnikatelského prostředí.“</w:t>
      </w:r>
    </w:p>
    <w:p w:rsidR="00DA07DC" w:rsidRPr="007264DC" w:rsidRDefault="00DA07DC" w:rsidP="007264DC">
      <w:pPr>
        <w:keepNext/>
        <w:spacing w:line="240" w:lineRule="auto"/>
        <w:rPr>
          <w:rFonts w:eastAsia="Times New Roman" w:cs="Arial"/>
          <w:spacing w:val="-4"/>
          <w:lang w:eastAsia="x-none"/>
        </w:rPr>
      </w:pPr>
      <w:proofErr w:type="spellStart"/>
      <w:r w:rsidRPr="007264DC">
        <w:rPr>
          <w:rFonts w:eastAsia="Times New Roman" w:cs="Arial"/>
          <w:b/>
          <w:bCs/>
          <w:spacing w:val="-4"/>
          <w:lang w:eastAsia="x-none"/>
        </w:rPr>
        <w:t>Wüstenrot</w:t>
      </w:r>
      <w:proofErr w:type="spellEnd"/>
      <w:r w:rsidRPr="007264DC">
        <w:rPr>
          <w:rFonts w:eastAsia="Times New Roman" w:cs="Arial"/>
          <w:spacing w:val="-4"/>
          <w:lang w:eastAsia="x-none"/>
        </w:rPr>
        <w:t xml:space="preserve">: </w:t>
      </w:r>
    </w:p>
    <w:p w:rsidR="00DA07DC" w:rsidRPr="007264DC" w:rsidRDefault="00DA07DC" w:rsidP="007264DC">
      <w:pPr>
        <w:keepNext/>
        <w:spacing w:line="240" w:lineRule="auto"/>
        <w:rPr>
          <w:rFonts w:eastAsia="Times New Roman" w:cs="Arial"/>
          <w:i/>
          <w:spacing w:val="-4"/>
          <w:lang w:eastAsia="cs-CZ"/>
        </w:rPr>
      </w:pPr>
      <w:r w:rsidRPr="007264DC">
        <w:rPr>
          <w:rFonts w:eastAsia="Times New Roman" w:cs="Arial"/>
          <w:spacing w:val="-4"/>
          <w:lang w:eastAsia="x-none"/>
        </w:rPr>
        <w:t>1. „</w:t>
      </w:r>
      <w:r w:rsidRPr="007264DC">
        <w:rPr>
          <w:rFonts w:eastAsia="Times New Roman" w:cs="Arial"/>
          <w:i/>
          <w:spacing w:val="-4"/>
          <w:lang w:eastAsia="cs-CZ"/>
        </w:rPr>
        <w:t>Centrální evidence všech vydaných dluhopisů bez prospektu i s prospektem (ČNB, CDCP), finanční informace alespoň na webu emitenta.“</w:t>
      </w:r>
    </w:p>
    <w:p w:rsidR="00DA07DC" w:rsidRPr="007264DC" w:rsidRDefault="00DA07DC" w:rsidP="007264DC">
      <w:pPr>
        <w:keepNext/>
        <w:spacing w:line="240" w:lineRule="auto"/>
        <w:rPr>
          <w:rFonts w:eastAsia="Times New Roman" w:cs="Arial"/>
          <w:i/>
          <w:spacing w:val="-4"/>
          <w:lang w:eastAsia="cs-CZ"/>
        </w:rPr>
      </w:pPr>
      <w:r w:rsidRPr="007264DC">
        <w:rPr>
          <w:rFonts w:eastAsia="Times New Roman" w:cs="Arial"/>
          <w:i/>
          <w:spacing w:val="-4"/>
          <w:lang w:eastAsia="cs-CZ"/>
        </w:rPr>
        <w:t>2. „Nemáme návrh.“</w:t>
      </w:r>
    </w:p>
    <w:p w:rsidR="00DA07DC" w:rsidRPr="007264DC" w:rsidRDefault="00DA07DC" w:rsidP="007264DC">
      <w:pPr>
        <w:keepNext/>
        <w:spacing w:line="240" w:lineRule="auto"/>
        <w:rPr>
          <w:rFonts w:eastAsia="Times New Roman" w:cs="Arial"/>
          <w:b/>
          <w:spacing w:val="-4"/>
          <w:lang w:eastAsia="cs-CZ"/>
        </w:rPr>
      </w:pPr>
      <w:r w:rsidRPr="007264DC">
        <w:rPr>
          <w:rFonts w:eastAsia="Times New Roman" w:cs="Arial"/>
          <w:b/>
          <w:spacing w:val="-4"/>
          <w:lang w:eastAsia="cs-CZ"/>
        </w:rPr>
        <w:t>Shrnutí konzultace</w:t>
      </w:r>
    </w:p>
    <w:p w:rsidR="00DA07DC" w:rsidRPr="007264DC" w:rsidRDefault="00DA07DC" w:rsidP="007264DC">
      <w:pPr>
        <w:keepNext/>
        <w:spacing w:line="240" w:lineRule="auto"/>
        <w:rPr>
          <w:rFonts w:eastAsia="Times New Roman" w:cs="Arial"/>
          <w:spacing w:val="-4"/>
          <w:lang w:eastAsia="cs-CZ"/>
        </w:rPr>
      </w:pPr>
      <w:r w:rsidRPr="007264DC">
        <w:rPr>
          <w:rFonts w:eastAsia="Times New Roman" w:cs="Arial"/>
          <w:spacing w:val="-4"/>
          <w:lang w:eastAsia="cs-CZ"/>
        </w:rPr>
        <w:t xml:space="preserve">Z provedené konzultace vyplývají některé návrhy pro další diskuzi, nikoliv však konkrétní zájem o využití uvedené diskrece. </w:t>
      </w:r>
    </w:p>
    <w:p w:rsidR="003A47E2" w:rsidRPr="007264DC" w:rsidRDefault="003A47E2" w:rsidP="007264DC">
      <w:pPr>
        <w:keepNext/>
        <w:spacing w:line="240" w:lineRule="auto"/>
        <w:rPr>
          <w:rFonts w:eastAsia="Times New Roman" w:cs="Arial"/>
          <w:b/>
          <w:bCs/>
          <w:lang w:eastAsia="x-none"/>
        </w:rPr>
      </w:pPr>
      <w:r w:rsidRPr="007264DC">
        <w:rPr>
          <w:rFonts w:eastAsia="Times New Roman" w:cs="Arial"/>
          <w:b/>
          <w:bCs/>
          <w:lang w:eastAsia="x-none"/>
        </w:rPr>
        <w:t>3. VYHODNOCENÍ NÁKLADŮ A PŘÍNOSŮ</w:t>
      </w:r>
    </w:p>
    <w:p w:rsidR="003A47E2" w:rsidRPr="007264DC" w:rsidRDefault="003A47E2" w:rsidP="007264DC">
      <w:pPr>
        <w:keepNext/>
        <w:spacing w:line="240" w:lineRule="auto"/>
        <w:rPr>
          <w:rFonts w:eastAsia="Times New Roman" w:cs="Arial"/>
          <w:bCs/>
          <w:lang w:eastAsia="x-none"/>
        </w:rPr>
      </w:pPr>
      <w:r w:rsidRPr="007264DC">
        <w:rPr>
          <w:rFonts w:eastAsia="Times New Roman" w:cs="Arial"/>
          <w:bCs/>
          <w:lang w:eastAsia="x-none"/>
        </w:rPr>
        <w:t>Vyhodnocení nákladů a přínosů jednotlivých variant je uvedeno u jednotlivých variant.</w:t>
      </w:r>
    </w:p>
    <w:p w:rsidR="003A47E2" w:rsidRPr="007264DC" w:rsidRDefault="003A47E2" w:rsidP="007264DC">
      <w:pPr>
        <w:keepNext/>
        <w:spacing w:line="240" w:lineRule="auto"/>
        <w:rPr>
          <w:rFonts w:eastAsia="Times New Roman" w:cs="Arial"/>
          <w:b/>
          <w:bCs/>
          <w:lang w:eastAsia="x-none"/>
        </w:rPr>
      </w:pPr>
    </w:p>
    <w:p w:rsidR="003A47E2" w:rsidRPr="007264DC" w:rsidRDefault="003A47E2" w:rsidP="007264DC">
      <w:pPr>
        <w:keepNext/>
        <w:spacing w:line="240" w:lineRule="auto"/>
        <w:rPr>
          <w:rFonts w:eastAsia="Times New Roman" w:cs="Arial"/>
          <w:b/>
          <w:bCs/>
          <w:lang w:eastAsia="x-none"/>
        </w:rPr>
      </w:pPr>
      <w:r w:rsidRPr="007264DC">
        <w:rPr>
          <w:rFonts w:eastAsia="Times New Roman" w:cs="Arial"/>
          <w:b/>
          <w:bCs/>
          <w:lang w:eastAsia="x-none"/>
        </w:rPr>
        <w:t>4. STANOVENÍ POŘADÍ VARIANT A VÝBĚR NEJVHODNĚJŠÍHO ŘEŠENÍ</w:t>
      </w:r>
    </w:p>
    <w:p w:rsidR="003A47E2" w:rsidRPr="007264DC" w:rsidRDefault="003A47E2" w:rsidP="007264DC">
      <w:pPr>
        <w:keepNext/>
        <w:spacing w:line="240" w:lineRule="auto"/>
        <w:rPr>
          <w:rFonts w:eastAsia="Times New Roman" w:cs="Arial"/>
          <w:bCs/>
          <w:lang w:eastAsia="x-none"/>
        </w:rPr>
      </w:pPr>
      <w:r w:rsidRPr="007264DC">
        <w:rPr>
          <w:rFonts w:eastAsia="Times New Roman" w:cs="Arial"/>
          <w:bCs/>
          <w:lang w:eastAsia="x-none"/>
        </w:rPr>
        <w:t>Vyhodnocení zvažovaných variant a výb</w:t>
      </w:r>
      <w:r w:rsidR="007264DC">
        <w:rPr>
          <w:rFonts w:eastAsia="Times New Roman" w:cs="Arial"/>
          <w:bCs/>
          <w:lang w:eastAsia="x-none"/>
        </w:rPr>
        <w:t>ěr nejvhodnějšího řešení je pro </w:t>
      </w:r>
      <w:r w:rsidRPr="007264DC">
        <w:rPr>
          <w:rFonts w:eastAsia="Times New Roman" w:cs="Arial"/>
          <w:bCs/>
          <w:lang w:eastAsia="x-none"/>
        </w:rPr>
        <w:t>navrhované změny uvedeno v rámci jednotlivých variant</w:t>
      </w:r>
    </w:p>
    <w:p w:rsidR="003A47E2" w:rsidRPr="007264DC" w:rsidRDefault="003A47E2" w:rsidP="007264DC">
      <w:pPr>
        <w:keepNext/>
        <w:spacing w:line="240" w:lineRule="auto"/>
        <w:rPr>
          <w:rFonts w:eastAsia="Times New Roman" w:cs="Arial"/>
          <w:b/>
          <w:bCs/>
          <w:lang w:eastAsia="x-none"/>
        </w:rPr>
      </w:pPr>
    </w:p>
    <w:p w:rsidR="003A47E2" w:rsidRPr="007264DC" w:rsidRDefault="003A47E2" w:rsidP="007264DC">
      <w:pPr>
        <w:keepNext/>
        <w:spacing w:line="240" w:lineRule="auto"/>
        <w:rPr>
          <w:rFonts w:eastAsia="Times New Roman" w:cs="Arial"/>
          <w:b/>
          <w:bCs/>
          <w:lang w:eastAsia="x-none"/>
        </w:rPr>
      </w:pPr>
      <w:r w:rsidRPr="007264DC">
        <w:rPr>
          <w:rFonts w:eastAsia="Times New Roman" w:cs="Arial"/>
          <w:b/>
          <w:bCs/>
          <w:lang w:eastAsia="x-none"/>
        </w:rPr>
        <w:t>5. IMPLEMENTACE DOPORUČENÉ VARIANTY A VYNUCOVÁNÍ</w:t>
      </w:r>
    </w:p>
    <w:p w:rsidR="003A47E2" w:rsidRPr="007264DC" w:rsidRDefault="003A47E2" w:rsidP="007264DC">
      <w:pPr>
        <w:keepNext/>
        <w:spacing w:line="240" w:lineRule="auto"/>
        <w:rPr>
          <w:rFonts w:eastAsia="Times New Roman" w:cs="Arial"/>
        </w:rPr>
      </w:pPr>
      <w:r w:rsidRPr="007264DC">
        <w:rPr>
          <w:rFonts w:eastAsia="Times New Roman" w:cs="Arial"/>
          <w:bCs/>
          <w:lang w:eastAsia="x-none"/>
        </w:rPr>
        <w:t>Začlenění doporučených variant bude provedeno změnou dotčených ustanovení ZPKT</w:t>
      </w:r>
      <w:r w:rsidRPr="007264DC">
        <w:rPr>
          <w:rFonts w:eastAsia="Times New Roman" w:cs="Arial"/>
        </w:rPr>
        <w:t xml:space="preserve">. K provedení tohoto nařízení není třeba vydání dalších právních předpisů. </w:t>
      </w:r>
    </w:p>
    <w:p w:rsidR="003A47E2" w:rsidRPr="007264DC" w:rsidRDefault="003A47E2" w:rsidP="007264DC">
      <w:pPr>
        <w:keepNext/>
        <w:spacing w:line="240" w:lineRule="auto"/>
        <w:rPr>
          <w:rFonts w:eastAsia="Times New Roman" w:cs="Arial"/>
        </w:rPr>
      </w:pPr>
      <w:r w:rsidRPr="007264DC">
        <w:rPr>
          <w:rFonts w:eastAsia="Times New Roman" w:cs="Arial"/>
        </w:rPr>
        <w:t>Primární odpovědnost za vynucování dodržování nastavených pravidel má emitent cenných papírů, který bude vyhotovovat prospekt. Dohled nad plněním jeho povinností pak vykonává Česká národní banka, včetně možnosti trestat související správní delikty a přijímat opatření k nápravě nebo jiná opatření. Nebude-li ani toto postačující a bude spáchán trestný čin (například podvod nebo zpronevěra), nastoupí orgány činné v trestním řízení.</w:t>
      </w:r>
    </w:p>
    <w:p w:rsidR="003A47E2" w:rsidRPr="007264DC" w:rsidRDefault="003A47E2" w:rsidP="007264DC">
      <w:pPr>
        <w:keepNext/>
        <w:spacing w:line="240" w:lineRule="auto"/>
        <w:rPr>
          <w:rFonts w:eastAsia="Times New Roman" w:cs="Arial"/>
        </w:rPr>
      </w:pPr>
    </w:p>
    <w:p w:rsidR="003A47E2" w:rsidRPr="007264DC" w:rsidRDefault="003A47E2" w:rsidP="007264DC">
      <w:pPr>
        <w:keepNext/>
        <w:spacing w:line="240" w:lineRule="auto"/>
        <w:outlineLvl w:val="0"/>
        <w:rPr>
          <w:rFonts w:eastAsia="Times New Roman" w:cs="Arial"/>
          <w:b/>
          <w:bCs/>
          <w:lang w:eastAsia="x-none"/>
        </w:rPr>
      </w:pPr>
      <w:r w:rsidRPr="007264DC">
        <w:rPr>
          <w:rFonts w:eastAsia="Times New Roman" w:cs="Arial"/>
          <w:b/>
          <w:bCs/>
          <w:lang w:eastAsia="x-none"/>
        </w:rPr>
        <w:t>6. PŘEZKUM ÚČINNOSTI REGULACE</w:t>
      </w:r>
    </w:p>
    <w:p w:rsidR="003A47E2" w:rsidRPr="007264DC" w:rsidRDefault="003A47E2" w:rsidP="007264DC">
      <w:pPr>
        <w:pStyle w:val="Default"/>
        <w:jc w:val="both"/>
        <w:rPr>
          <w:rFonts w:ascii="Arial" w:hAnsi="Arial" w:cs="Arial"/>
        </w:rPr>
      </w:pPr>
      <w:r w:rsidRPr="007264DC">
        <w:rPr>
          <w:rFonts w:ascii="Arial" w:hAnsi="Arial" w:cs="Arial"/>
        </w:rPr>
        <w:t xml:space="preserve">Do 21. července 2022 předloží Komise Evropskému parlamentu a Radě zprávu o uplatňování nařízení o prospektu, kterou případně podle potřeby doplní legislativním návrhem. Na základě analýzy posoudí, zda jsou nezbytné jakékoli změny tohoto nařízení, aby se menším společnostem dále usnadnilo získávání kapitálu a současně se zajistila dostatečná úroveň ochrany investorů, včetně toho, zda je třeba upravit příslušné prahové hodnoty. Vedle toho zpráva vyhodnotí, zda jsou emitenti, a zejména malé a střední podniky, schopni získat LEI a ISIN s přiměřenými náklady a za přiměřenou dobu. </w:t>
      </w:r>
    </w:p>
    <w:p w:rsidR="003A47E2" w:rsidRPr="007264DC" w:rsidRDefault="003A47E2" w:rsidP="007264DC">
      <w:pPr>
        <w:pStyle w:val="Default"/>
        <w:jc w:val="both"/>
        <w:rPr>
          <w:rFonts w:ascii="Arial" w:eastAsiaTheme="minorHAnsi" w:hAnsi="Arial" w:cs="Arial"/>
        </w:rPr>
      </w:pPr>
      <w:r w:rsidRPr="007264DC">
        <w:rPr>
          <w:rFonts w:ascii="Arial" w:hAnsi="Arial" w:cs="Arial"/>
        </w:rPr>
        <w:t>V té souvislosti Ministerstvo financí provede případné potřebné legislativní změny na národní úrovni.</w:t>
      </w:r>
    </w:p>
    <w:p w:rsidR="003A47E2" w:rsidRPr="007264DC" w:rsidRDefault="003A47E2" w:rsidP="007264DC">
      <w:pPr>
        <w:keepNext/>
        <w:spacing w:line="240" w:lineRule="auto"/>
        <w:rPr>
          <w:rFonts w:eastAsia="Times New Roman" w:cs="Arial"/>
          <w:b/>
        </w:rPr>
      </w:pPr>
      <w:r w:rsidRPr="007264DC">
        <w:rPr>
          <w:rFonts w:eastAsia="Times New Roman" w:cs="Arial"/>
          <w:b/>
        </w:rPr>
        <w:t>7. KONZULTACE A ZDROJE DAT</w:t>
      </w:r>
    </w:p>
    <w:p w:rsidR="003A47E2" w:rsidRPr="007264DC" w:rsidRDefault="003A47E2" w:rsidP="007264DC">
      <w:pPr>
        <w:keepNext/>
        <w:spacing w:line="240" w:lineRule="auto"/>
        <w:outlineLvl w:val="0"/>
        <w:rPr>
          <w:rFonts w:eastAsia="Times New Roman" w:cs="Arial"/>
        </w:rPr>
      </w:pPr>
      <w:r w:rsidRPr="007264DC">
        <w:rPr>
          <w:rFonts w:eastAsia="Calibri" w:cs="Arial"/>
        </w:rPr>
        <w:t xml:space="preserve">Ministerstvo financí uveřejnilo veřejnou konzultaci k potřebě adaptace nařízení o prospektu a k dalším souvisejícím otázkám </w:t>
      </w:r>
      <w:r w:rsidR="007264DC">
        <w:rPr>
          <w:rFonts w:eastAsia="Calibri" w:cs="Arial"/>
        </w:rPr>
        <w:t>dne 9. ledna 2018, s termínem k </w:t>
      </w:r>
      <w:r w:rsidRPr="007264DC">
        <w:rPr>
          <w:rFonts w:eastAsia="Calibri" w:cs="Arial"/>
        </w:rPr>
        <w:t>vyjádření do 9. února 2018. V této souvislosti vyzvalo účastníky kapitálového trhu a odbornou veřejnost k zaslání případných konkrétních návrhů i s</w:t>
      </w:r>
      <w:r w:rsidR="007264DC">
        <w:rPr>
          <w:rFonts w:eastAsia="Calibri" w:cs="Arial"/>
        </w:rPr>
        <w:t> </w:t>
      </w:r>
      <w:r w:rsidRPr="007264DC">
        <w:rPr>
          <w:rFonts w:eastAsia="Calibri" w:cs="Arial"/>
        </w:rPr>
        <w:t>odůvodněním navrhované změny, které by mohly být při přípravě novely zohledněny. Na výzvu zareagovala Česká národní banka,</w:t>
      </w:r>
      <w:r w:rsidR="007264DC">
        <w:rPr>
          <w:rFonts w:eastAsia="Calibri" w:cs="Arial"/>
        </w:rPr>
        <w:t xml:space="preserve"> Asociace pro </w:t>
      </w:r>
      <w:r w:rsidRPr="007264DC">
        <w:rPr>
          <w:rFonts w:eastAsia="Calibri" w:cs="Arial"/>
        </w:rPr>
        <w:t xml:space="preserve">kapitálový trh (AKAT), </w:t>
      </w:r>
      <w:proofErr w:type="spellStart"/>
      <w:r w:rsidRPr="007264DC">
        <w:rPr>
          <w:rFonts w:eastAsia="Calibri" w:cs="Arial"/>
        </w:rPr>
        <w:t>Wüstenrot</w:t>
      </w:r>
      <w:proofErr w:type="spellEnd"/>
      <w:r w:rsidRPr="007264DC">
        <w:rPr>
          <w:rFonts w:eastAsia="Calibri" w:cs="Arial"/>
        </w:rPr>
        <w:t xml:space="preserve"> a Česká </w:t>
      </w:r>
      <w:proofErr w:type="spellStart"/>
      <w:r w:rsidRPr="007264DC">
        <w:rPr>
          <w:rFonts w:eastAsia="Calibri" w:cs="Arial"/>
        </w:rPr>
        <w:t>fintechová</w:t>
      </w:r>
      <w:proofErr w:type="spellEnd"/>
      <w:r w:rsidRPr="007264DC">
        <w:rPr>
          <w:rFonts w:eastAsia="Calibri" w:cs="Arial"/>
        </w:rPr>
        <w:t xml:space="preserve"> asociace. </w:t>
      </w:r>
    </w:p>
    <w:p w:rsidR="003A47E2" w:rsidRPr="007264DC" w:rsidRDefault="003A47E2" w:rsidP="007264DC">
      <w:pPr>
        <w:keepNext/>
        <w:spacing w:line="240" w:lineRule="auto"/>
        <w:outlineLvl w:val="0"/>
        <w:rPr>
          <w:rFonts w:eastAsia="Calibri" w:cs="Arial"/>
        </w:rPr>
      </w:pPr>
      <w:r w:rsidRPr="007264DC">
        <w:rPr>
          <w:rFonts w:eastAsia="Calibri" w:cs="Arial"/>
        </w:rPr>
        <w:t>Při analýze jednotlivých problémů byly zkoumány veškeré dostupné zdroje dat, zejména data dostupná přes internet, jako jsou například seznamy vedené Českou národní bankou, zahraniční právní úpravy, odborná literatura, včetně zahraniční a další údaje poskytnuté účastníky diskusí a konzultací.</w:t>
      </w:r>
    </w:p>
    <w:p w:rsidR="003A47E2" w:rsidRPr="007264DC" w:rsidRDefault="003A47E2" w:rsidP="007264DC">
      <w:pPr>
        <w:keepNext/>
        <w:spacing w:line="240" w:lineRule="auto"/>
        <w:rPr>
          <w:rFonts w:cs="Arial"/>
          <w:b/>
        </w:rPr>
      </w:pPr>
    </w:p>
    <w:p w:rsidR="003A47E2" w:rsidRPr="007264DC" w:rsidRDefault="003A47E2" w:rsidP="007264DC">
      <w:pPr>
        <w:keepNext/>
        <w:spacing w:line="240" w:lineRule="auto"/>
        <w:rPr>
          <w:rFonts w:cs="Arial"/>
          <w:b/>
        </w:rPr>
      </w:pPr>
      <w:r w:rsidRPr="007264DC">
        <w:rPr>
          <w:rFonts w:cs="Arial"/>
          <w:b/>
        </w:rPr>
        <w:t>B. Zhodnocení zvláštních dopadů a souladu s právními normami</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1. Zhodnocení dopadů na veřejné rozpočty</w:t>
      </w:r>
    </w:p>
    <w:p w:rsidR="003A47E2" w:rsidRPr="007264DC" w:rsidRDefault="003A47E2" w:rsidP="007264DC">
      <w:pPr>
        <w:keepNext/>
        <w:autoSpaceDE w:val="0"/>
        <w:autoSpaceDN w:val="0"/>
        <w:adjustRightInd w:val="0"/>
        <w:spacing w:line="240" w:lineRule="auto"/>
        <w:rPr>
          <w:rFonts w:cs="Arial"/>
          <w:spacing w:val="-4"/>
        </w:rPr>
      </w:pPr>
      <w:r w:rsidRPr="007264DC">
        <w:rPr>
          <w:rFonts w:cs="Arial"/>
          <w:spacing w:val="-4"/>
        </w:rPr>
        <w:t>Z navrhované právní úpravy nevyplývá zvýšení n</w:t>
      </w:r>
      <w:r w:rsidR="007264DC">
        <w:rPr>
          <w:rFonts w:cs="Arial"/>
          <w:spacing w:val="-4"/>
        </w:rPr>
        <w:t>ároků na státní rozpočet ani na </w:t>
      </w:r>
      <w:r w:rsidRPr="007264DC">
        <w:rPr>
          <w:rFonts w:cs="Arial"/>
          <w:spacing w:val="-4"/>
        </w:rPr>
        <w:t>ostatní veřejné rozpočty, zejména rozpočty obcí a krajů, protože z úpravy nevyplývají povinnosti ani opatření, jejichž zajištění by vyžadovalo vynaložení finančních prostředků. Ke změnám ve veřejných rozpočtech nedojde z důvodu nevyužití diskrecí plynoucích z nařízení a zachování statutu quo.</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2. Zhodnocení souladu návrhu s ústavním pořádkem ČR</w:t>
      </w:r>
    </w:p>
    <w:p w:rsidR="003A47E2" w:rsidRPr="007264DC" w:rsidRDefault="003A47E2" w:rsidP="007264DC">
      <w:pPr>
        <w:keepNext/>
        <w:autoSpaceDE w:val="0"/>
        <w:autoSpaceDN w:val="0"/>
        <w:adjustRightInd w:val="0"/>
        <w:spacing w:line="240" w:lineRule="auto"/>
        <w:rPr>
          <w:rFonts w:cs="Arial"/>
        </w:rPr>
      </w:pPr>
      <w:r w:rsidRPr="007264DC">
        <w:rPr>
          <w:rFonts w:cs="Arial"/>
        </w:rPr>
        <w:t xml:space="preserve">Předkládaný návrh je v souladu s ústavním pořádkem České republiky. </w:t>
      </w:r>
    </w:p>
    <w:p w:rsidR="003A47E2" w:rsidRPr="007264DC" w:rsidRDefault="003A47E2" w:rsidP="007264DC">
      <w:pPr>
        <w:keepNext/>
        <w:autoSpaceDE w:val="0"/>
        <w:autoSpaceDN w:val="0"/>
        <w:adjustRightInd w:val="0"/>
        <w:spacing w:line="240" w:lineRule="auto"/>
        <w:rPr>
          <w:rFonts w:cs="Arial"/>
        </w:rPr>
      </w:pPr>
      <w:r w:rsidRPr="007264DC">
        <w:rPr>
          <w:rFonts w:cs="Arial"/>
        </w:rPr>
        <w:t>Návrh nařízení se dotýká zejména ústavně zaručeného práva vlastnit majetek (čl. 11 LPS) a ústavně zaručeného práva podnika</w:t>
      </w:r>
      <w:r w:rsidR="007264DC">
        <w:rPr>
          <w:rFonts w:cs="Arial"/>
        </w:rPr>
        <w:t>t (čl. 26 LPS). Při zásazích do </w:t>
      </w:r>
      <w:r w:rsidRPr="007264DC">
        <w:rPr>
          <w:rFonts w:cs="Arial"/>
        </w:rPr>
        <w:t xml:space="preserve">těchto základních práv návrh plně respektuje zásadu, že při stanovení mezí základních práv musí být šetřeno jejich podstaty a smyslu (čl. 4 odst. 4 LPS). </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3. Zhodnocení souladu návrhu s mezinárodními smlouvami a slučitelnost s právními akty EU</w:t>
      </w:r>
    </w:p>
    <w:p w:rsidR="003A47E2" w:rsidRPr="007264DC" w:rsidRDefault="003A47E2" w:rsidP="007264DC">
      <w:pPr>
        <w:keepNext/>
        <w:autoSpaceDE w:val="0"/>
        <w:autoSpaceDN w:val="0"/>
        <w:adjustRightInd w:val="0"/>
        <w:spacing w:line="240" w:lineRule="auto"/>
        <w:rPr>
          <w:rFonts w:cs="Arial"/>
        </w:rPr>
      </w:pPr>
      <w:r w:rsidRPr="007264DC">
        <w:rPr>
          <w:rFonts w:cs="Arial"/>
        </w:rPr>
        <w:t>Návrh zákona je v souladu s mezinárodními smlouvami, jimiž je Česká republika vázána, a s právními akty Evropské unie. Pokud jde o práva zaručená Evropskou úmluvou o lidských právech, dotýká se návrh zákona zejména ochrany vlastnictví (čl. 1 Protokolu č. 1 k Úmluvě) a práva na s</w:t>
      </w:r>
      <w:r w:rsidR="007264DC">
        <w:rPr>
          <w:rFonts w:cs="Arial"/>
        </w:rPr>
        <w:t>oukromý život (čl. </w:t>
      </w:r>
      <w:r w:rsidRPr="007264DC">
        <w:rPr>
          <w:rFonts w:cs="Arial"/>
        </w:rPr>
        <w:t xml:space="preserve">8 Úmluvy). Podle názoru předkladatele je naplněn právní základ, který Úmluva stanoví pro zásahy do těchto práv, konkrétně v případě ochrany vlastnictví je to obecný zájem (čl. 1 odst. 2 Protokolu č. 1 k Úmluvě) a v případě práva na soukromý život, hospodářský blahobyt země a ochranu práv a svobod jiných (čl. 8 odst. 2 Úmluvy). </w:t>
      </w:r>
    </w:p>
    <w:p w:rsidR="003A47E2" w:rsidRPr="007264DC" w:rsidRDefault="003A47E2" w:rsidP="007264DC">
      <w:pPr>
        <w:keepNext/>
        <w:autoSpaceDE w:val="0"/>
        <w:autoSpaceDN w:val="0"/>
        <w:adjustRightInd w:val="0"/>
        <w:spacing w:line="240" w:lineRule="auto"/>
        <w:rPr>
          <w:rFonts w:cs="Arial"/>
        </w:rPr>
      </w:pPr>
      <w:r w:rsidRPr="007264DC">
        <w:rPr>
          <w:rFonts w:cs="Arial"/>
        </w:rPr>
        <w:t>Návrh zákona je v souladu s právními akty Evropské unie, s judikaturou soudních orgánů Evropské unie a s obecnými právními zásadami práva Evropské unie, zejména se zásadou proporcionality a subsidiarity, se zásadou rovného zacházení, nediskriminace a právní jistoty.</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4. Sociální dopady</w:t>
      </w:r>
    </w:p>
    <w:p w:rsidR="003A47E2" w:rsidRPr="007264DC" w:rsidRDefault="003A47E2" w:rsidP="007264DC">
      <w:pPr>
        <w:keepNext/>
        <w:autoSpaceDE w:val="0"/>
        <w:autoSpaceDN w:val="0"/>
        <w:adjustRightInd w:val="0"/>
        <w:spacing w:line="240" w:lineRule="auto"/>
        <w:rPr>
          <w:rFonts w:cs="Arial"/>
        </w:rPr>
      </w:pPr>
      <w:r w:rsidRPr="007264DC">
        <w:rPr>
          <w:rFonts w:cs="Arial"/>
        </w:rPr>
        <w:t>Navrhovaná právní úprava nemá žádné sociální dopady.</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5. Zhodnocení dopadů navrhovaného řešení na životní prostředí</w:t>
      </w:r>
    </w:p>
    <w:p w:rsidR="003A47E2" w:rsidRPr="007264DC" w:rsidRDefault="003A47E2" w:rsidP="007264DC">
      <w:pPr>
        <w:keepNext/>
        <w:spacing w:line="240" w:lineRule="auto"/>
        <w:rPr>
          <w:rFonts w:cs="Arial"/>
        </w:rPr>
      </w:pPr>
      <w:r w:rsidRPr="007264DC">
        <w:rPr>
          <w:rFonts w:cs="Arial"/>
        </w:rPr>
        <w:t>Návrh zákona nemá žádné dopady na životní prostředí.</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 xml:space="preserve">6. Zhodnocení současného stavu a dopadů navrhovaného řešení </w:t>
      </w:r>
      <w:r w:rsidR="007264DC">
        <w:rPr>
          <w:rFonts w:cs="Arial"/>
          <w:b/>
          <w:bCs/>
          <w:i/>
          <w:iCs/>
        </w:rPr>
        <w:t>ve </w:t>
      </w:r>
      <w:r w:rsidRPr="007264DC">
        <w:rPr>
          <w:rFonts w:cs="Arial"/>
          <w:b/>
          <w:bCs/>
          <w:i/>
          <w:iCs/>
        </w:rPr>
        <w:t>vztahu k zákazu diskriminace a ve vztahu k rovnosti mužů a žen</w:t>
      </w:r>
    </w:p>
    <w:p w:rsidR="003A47E2" w:rsidRPr="007264DC" w:rsidRDefault="003A47E2" w:rsidP="007264DC">
      <w:pPr>
        <w:keepNext/>
        <w:spacing w:line="240" w:lineRule="auto"/>
        <w:rPr>
          <w:rFonts w:cs="Arial"/>
          <w:spacing w:val="-4"/>
        </w:rPr>
      </w:pPr>
      <w:r w:rsidRPr="007264DC">
        <w:rPr>
          <w:rFonts w:cs="Arial"/>
          <w:spacing w:val="-4"/>
        </w:rPr>
        <w:t>Navrhovaná ani měněná právní úprava se nikterak nedotýká zákazu diskriminace ani nemá dopad na rovnost mužů a žen, protože adresáty uložených povinností nejsou lidé, ale právnické osoby a entity bez právní subjektivity. Úprava je nediskriminační s ohledem na klasická kritéria diskriminace.</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7. Zhodnocení dopadů navrhovaného řešení ve vztahu k ochraně soukromí a osobních údajů (DPIA)</w:t>
      </w:r>
    </w:p>
    <w:p w:rsidR="003A47E2" w:rsidRPr="007264DC" w:rsidRDefault="003A47E2" w:rsidP="007264DC">
      <w:pPr>
        <w:keepNext/>
        <w:autoSpaceDE w:val="0"/>
        <w:autoSpaceDN w:val="0"/>
        <w:adjustRightInd w:val="0"/>
        <w:spacing w:line="240" w:lineRule="auto"/>
        <w:rPr>
          <w:rFonts w:cs="Arial"/>
        </w:rPr>
      </w:pPr>
      <w:r w:rsidRPr="007264DC">
        <w:rPr>
          <w:rFonts w:cs="Arial"/>
        </w:rPr>
        <w:t xml:space="preserve">Návrh zákona nezasahuje do ochrany soukromí či osobních údajů. Návrh zákona žádným způsobem nemění dosavadní praxi v této oblasti. Návrh zákona není v rozporu s Úmluvou o </w:t>
      </w:r>
      <w:r w:rsidR="007264DC">
        <w:rPr>
          <w:rFonts w:cs="Arial"/>
        </w:rPr>
        <w:t>ochraně osob se zřetelem na </w:t>
      </w:r>
      <w:r w:rsidRPr="007264DC">
        <w:rPr>
          <w:rFonts w:cs="Arial"/>
        </w:rPr>
        <w:t xml:space="preserve">automatizované zpracování osobních dat (vyhlášené pod č. 115/2001 Sb. m. s.), směrnicí Evropského parlamentu a Rady 95/46/ES ze dne 24. </w:t>
      </w:r>
      <w:r w:rsidR="007264DC">
        <w:rPr>
          <w:rFonts w:cs="Arial"/>
        </w:rPr>
        <w:t>října 1995 o </w:t>
      </w:r>
      <w:r w:rsidRPr="007264DC">
        <w:rPr>
          <w:rFonts w:cs="Arial"/>
        </w:rPr>
        <w:t>ochraně jednotlivců v souvislosti se zpracováním osobních údajů a o volném pohybu těchto údajů, ani se zákonem č. 101/2000 Sb., o ochraně osobních údajů a o změně některých zákonů, ve znění pozdějších předpisů.</w:t>
      </w:r>
    </w:p>
    <w:p w:rsidR="003A47E2" w:rsidRPr="007264DC" w:rsidRDefault="003A47E2" w:rsidP="007264DC">
      <w:pPr>
        <w:keepNext/>
        <w:spacing w:line="240" w:lineRule="auto"/>
        <w:rPr>
          <w:rFonts w:cs="Arial"/>
          <w:b/>
          <w:bCs/>
          <w:i/>
          <w:iCs/>
        </w:rPr>
      </w:pPr>
      <w:r w:rsidRPr="007264DC">
        <w:rPr>
          <w:rFonts w:cs="Arial"/>
          <w:b/>
          <w:bCs/>
          <w:i/>
          <w:iCs/>
        </w:rPr>
        <w:t>8. Zhodnocení korupčních rizik (CIA)</w:t>
      </w:r>
    </w:p>
    <w:p w:rsidR="003A47E2" w:rsidRPr="007264DC" w:rsidRDefault="003A47E2" w:rsidP="007264DC">
      <w:pPr>
        <w:keepNext/>
        <w:autoSpaceDE w:val="0"/>
        <w:autoSpaceDN w:val="0"/>
        <w:adjustRightInd w:val="0"/>
        <w:spacing w:line="240" w:lineRule="auto"/>
        <w:rPr>
          <w:rFonts w:cs="Arial"/>
        </w:rPr>
      </w:pPr>
      <w:r w:rsidRPr="007264DC">
        <w:rPr>
          <w:rFonts w:cs="Arial"/>
        </w:rPr>
        <w:t>Korupční rizika, která mohou vést ke zvýhodnění konkrétních subjektů vůči jiným, spočívají v benevolentním výkonu dohledu a správního řízení ze strany orgánů dohledu. Je však třeba uvést, že právní řízení se řídí správním řádem či sektorovými procesními předpisy.</w:t>
      </w:r>
    </w:p>
    <w:p w:rsidR="003A47E2" w:rsidRPr="007264DC" w:rsidRDefault="003A47E2" w:rsidP="007264DC">
      <w:pPr>
        <w:keepNext/>
        <w:spacing w:line="240" w:lineRule="auto"/>
        <w:rPr>
          <w:rFonts w:cs="Arial"/>
        </w:rPr>
      </w:pPr>
      <w:r w:rsidRPr="007264DC">
        <w:rPr>
          <w:rFonts w:cs="Arial"/>
        </w:rPr>
        <w:t>Rozhodovací pravomoc je transparentní a je vždy možné určit konkrétní subjekty, které jsou odpovědné za rozhodnutí. Na základě výše uvedených skutečností je možné usoudit, že se nepředpokládá vznik žádných korupčních rizik.</w:t>
      </w:r>
    </w:p>
    <w:p w:rsidR="003A47E2" w:rsidRPr="007264DC" w:rsidRDefault="003A47E2" w:rsidP="007264DC">
      <w:pPr>
        <w:keepNext/>
        <w:spacing w:line="240" w:lineRule="auto"/>
        <w:rPr>
          <w:rFonts w:eastAsia="Times New Roman" w:cs="Arial"/>
          <w:spacing w:val="-4"/>
        </w:rPr>
      </w:pPr>
      <w:r w:rsidRPr="007264DC">
        <w:rPr>
          <w:rFonts w:eastAsia="Times New Roman" w:cs="Arial"/>
          <w:spacing w:val="-4"/>
        </w:rPr>
        <w:t>Z navrhované ani měněné právní úpravy neplynou žádná korupční rizika, protože zde není upravena ani umožněna žádná ingerence veřejné moci.</w:t>
      </w:r>
    </w:p>
    <w:p w:rsidR="003A47E2" w:rsidRPr="007264DC" w:rsidRDefault="003A47E2" w:rsidP="007264DC">
      <w:pPr>
        <w:keepNext/>
        <w:autoSpaceDE w:val="0"/>
        <w:autoSpaceDN w:val="0"/>
        <w:adjustRightInd w:val="0"/>
        <w:spacing w:line="240" w:lineRule="auto"/>
        <w:rPr>
          <w:rFonts w:cs="Arial"/>
          <w:b/>
          <w:bCs/>
          <w:i/>
          <w:iCs/>
        </w:rPr>
      </w:pPr>
      <w:r w:rsidRPr="007264DC">
        <w:rPr>
          <w:rFonts w:cs="Arial"/>
          <w:b/>
          <w:bCs/>
          <w:i/>
          <w:iCs/>
        </w:rPr>
        <w:t>9. Zhodnocení dopadů navrhovaného řešení na mezinárodní konkurenceschopnost</w:t>
      </w:r>
    </w:p>
    <w:p w:rsidR="003A47E2" w:rsidRPr="007264DC" w:rsidRDefault="003A47E2" w:rsidP="007264DC">
      <w:pPr>
        <w:keepNext/>
        <w:spacing w:line="240" w:lineRule="auto"/>
        <w:rPr>
          <w:rFonts w:eastAsia="Times New Roman" w:cs="Arial"/>
          <w:bCs/>
          <w:lang w:eastAsia="x-none"/>
        </w:rPr>
      </w:pPr>
      <w:r w:rsidRPr="007264DC">
        <w:rPr>
          <w:rFonts w:eastAsia="Times New Roman" w:cs="Arial"/>
          <w:bCs/>
        </w:rPr>
        <w:t>V případě přijetí návrhu lze očekávat neutrální dopad na mezinárodní konkurenceschopnost České republiky, a to jak na vnitřním trhu Evropské unie, tak ve vztahu ke třetím zemím.</w:t>
      </w:r>
      <w:r w:rsidRPr="007264DC">
        <w:rPr>
          <w:rFonts w:eastAsia="Times New Roman" w:cs="Arial"/>
          <w:bCs/>
          <w:lang w:eastAsia="x-none"/>
        </w:rPr>
        <w:t xml:space="preserve"> Neutrální dopad plyne </w:t>
      </w:r>
      <w:r w:rsidRPr="007264DC">
        <w:rPr>
          <w:rFonts w:cs="Arial"/>
          <w:spacing w:val="-4"/>
        </w:rPr>
        <w:t>z důvodu nevyužití diskrecí uvedených v nařízení a zachování statutu quo.</w:t>
      </w:r>
    </w:p>
    <w:p w:rsidR="003A47E2" w:rsidRPr="007264DC" w:rsidRDefault="003A47E2" w:rsidP="007264DC">
      <w:pPr>
        <w:keepNext/>
        <w:spacing w:line="240" w:lineRule="auto"/>
        <w:rPr>
          <w:rFonts w:cs="Arial"/>
          <w:b/>
          <w:i/>
        </w:rPr>
      </w:pPr>
      <w:r w:rsidRPr="007264DC">
        <w:rPr>
          <w:rFonts w:cs="Arial"/>
          <w:b/>
          <w:i/>
        </w:rPr>
        <w:t>10. Zhodnocení dopadů na podnikatelské prostředí</w:t>
      </w:r>
    </w:p>
    <w:p w:rsidR="003A47E2" w:rsidRPr="007264DC" w:rsidRDefault="003A47E2" w:rsidP="007264DC">
      <w:pPr>
        <w:keepNext/>
        <w:spacing w:line="240" w:lineRule="auto"/>
        <w:rPr>
          <w:rFonts w:cs="Arial"/>
        </w:rPr>
      </w:pPr>
      <w:r w:rsidRPr="007264DC">
        <w:rPr>
          <w:rFonts w:cs="Arial"/>
        </w:rPr>
        <w:t>Navrhovaná právní úprava předpokládá neutrální dopad na podnikatelské prostředí z důvodu zachování stávajícího právního rámce</w:t>
      </w:r>
      <w:r w:rsidRPr="007264DC">
        <w:rPr>
          <w:rFonts w:cs="Arial"/>
          <w:spacing w:val="-4"/>
        </w:rPr>
        <w:t>. Navrhovaná novela nepřináší žádné nové vynucené náklady, protože nepřináší přísnější regulaci.</w:t>
      </w:r>
    </w:p>
    <w:p w:rsidR="003A47E2" w:rsidRPr="007264DC" w:rsidRDefault="003A47E2" w:rsidP="007264DC">
      <w:pPr>
        <w:keepNext/>
        <w:spacing w:line="240" w:lineRule="auto"/>
        <w:rPr>
          <w:rFonts w:cs="Arial"/>
          <w:b/>
          <w:i/>
        </w:rPr>
      </w:pPr>
      <w:r w:rsidRPr="007264DC">
        <w:rPr>
          <w:rFonts w:cs="Arial"/>
          <w:b/>
          <w:i/>
        </w:rPr>
        <w:t>11. Zhodnocení dopadů na územní samosprávné celky (kraje, obce)</w:t>
      </w:r>
    </w:p>
    <w:p w:rsidR="003A47E2" w:rsidRPr="007264DC" w:rsidRDefault="003A47E2" w:rsidP="007264DC">
      <w:pPr>
        <w:keepNext/>
        <w:spacing w:line="240" w:lineRule="auto"/>
        <w:rPr>
          <w:rFonts w:cs="Arial"/>
        </w:rPr>
      </w:pPr>
      <w:r w:rsidRPr="007264DC">
        <w:rPr>
          <w:rFonts w:cs="Arial"/>
        </w:rPr>
        <w:t>Navrhovaná právní úprava nepředpokládá dopad na územní samosprávné celky.</w:t>
      </w:r>
    </w:p>
    <w:p w:rsidR="003A47E2" w:rsidRPr="007264DC" w:rsidRDefault="003A47E2" w:rsidP="007264DC">
      <w:pPr>
        <w:keepNext/>
        <w:spacing w:line="240" w:lineRule="auto"/>
        <w:rPr>
          <w:rFonts w:cs="Arial"/>
          <w:b/>
          <w:i/>
        </w:rPr>
      </w:pPr>
      <w:r w:rsidRPr="007264DC">
        <w:rPr>
          <w:rFonts w:cs="Arial"/>
          <w:b/>
          <w:i/>
        </w:rPr>
        <w:t>12. Zhodnocení dopadů na spotřebitele</w:t>
      </w:r>
    </w:p>
    <w:p w:rsidR="003A47E2" w:rsidRPr="007264DC" w:rsidRDefault="003A47E2" w:rsidP="007264DC">
      <w:pPr>
        <w:keepNext/>
        <w:spacing w:line="240" w:lineRule="auto"/>
        <w:rPr>
          <w:rFonts w:cs="Arial"/>
        </w:rPr>
      </w:pPr>
      <w:r w:rsidRPr="007264DC">
        <w:rPr>
          <w:rFonts w:cs="Arial"/>
        </w:rPr>
        <w:t>Navrhovaná právní úprava nepředpo</w:t>
      </w:r>
      <w:r w:rsidR="007264DC">
        <w:rPr>
          <w:rFonts w:cs="Arial"/>
        </w:rPr>
        <w:t>kládá žádné negativní dopady na </w:t>
      </w:r>
      <w:r w:rsidRPr="007264DC">
        <w:rPr>
          <w:rFonts w:cs="Arial"/>
        </w:rPr>
        <w:t>spotřebitele. Ochrana drobných investorů by neměla být tímto návrhem dotčena.</w:t>
      </w:r>
    </w:p>
    <w:p w:rsidR="003A47E2" w:rsidRPr="007264DC" w:rsidRDefault="003A47E2" w:rsidP="007264DC">
      <w:pPr>
        <w:keepNext/>
        <w:spacing w:line="240" w:lineRule="auto"/>
        <w:rPr>
          <w:rFonts w:cs="Arial"/>
          <w:b/>
          <w:i/>
        </w:rPr>
      </w:pPr>
      <w:r w:rsidRPr="007264DC">
        <w:rPr>
          <w:rFonts w:cs="Arial"/>
          <w:b/>
          <w:i/>
        </w:rPr>
        <w:t>13. Zhodnocení dopadů na výkon statistické služby</w:t>
      </w:r>
    </w:p>
    <w:p w:rsidR="003A47E2" w:rsidRPr="007264DC" w:rsidRDefault="003A47E2" w:rsidP="007264DC">
      <w:pPr>
        <w:keepNext/>
        <w:spacing w:line="240" w:lineRule="auto"/>
        <w:rPr>
          <w:rFonts w:cs="Arial"/>
        </w:rPr>
      </w:pPr>
      <w:r w:rsidRPr="007264DC">
        <w:rPr>
          <w:rFonts w:cs="Arial"/>
        </w:rPr>
        <w:t>Navrhovaná právní úprava nepředpokládá žádné dopady na výkon statistické služby.</w:t>
      </w:r>
    </w:p>
    <w:p w:rsidR="003A47E2" w:rsidRPr="007264DC" w:rsidRDefault="003A47E2" w:rsidP="007264DC">
      <w:pPr>
        <w:keepNext/>
        <w:spacing w:line="240" w:lineRule="auto"/>
        <w:rPr>
          <w:rFonts w:cs="Arial"/>
          <w:b/>
          <w:i/>
        </w:rPr>
      </w:pPr>
      <w:r w:rsidRPr="007264DC">
        <w:rPr>
          <w:rFonts w:cs="Arial"/>
          <w:b/>
          <w:i/>
        </w:rPr>
        <w:t>14. Zhodnocení dopadů na bezpečnost nebo obranu státu</w:t>
      </w:r>
    </w:p>
    <w:p w:rsidR="003A47E2" w:rsidRPr="007264DC" w:rsidRDefault="003A47E2" w:rsidP="007264DC">
      <w:pPr>
        <w:keepNext/>
        <w:spacing w:line="240" w:lineRule="auto"/>
        <w:rPr>
          <w:rFonts w:eastAsia="Times New Roman" w:cs="Arial"/>
          <w:b/>
          <w:bCs/>
          <w:spacing w:val="-4"/>
        </w:rPr>
      </w:pPr>
      <w:r w:rsidRPr="007264DC">
        <w:rPr>
          <w:rFonts w:cs="Arial"/>
        </w:rPr>
        <w:t>Navrhovaná právní úprava nepředpokládá žádný dopad na bezpečnost nebo obranu státu.</w:t>
      </w:r>
    </w:p>
    <w:p w:rsidR="003A47E2" w:rsidRPr="007264DC" w:rsidRDefault="003A47E2" w:rsidP="007264DC">
      <w:pPr>
        <w:spacing w:line="240" w:lineRule="auto"/>
        <w:rPr>
          <w:rFonts w:cs="Arial"/>
          <w:b/>
          <w:u w:val="single"/>
        </w:rPr>
      </w:pPr>
    </w:p>
    <w:sectPr w:rsidR="003A47E2" w:rsidRPr="007264DC" w:rsidSect="00266D23">
      <w:headerReference w:type="default" r:id="rId9"/>
      <w:pgSz w:w="11900" w:h="16840"/>
      <w:pgMar w:top="1701" w:right="1701" w:bottom="1701"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B7E" w:rsidRDefault="00671B7E">
      <w:r>
        <w:separator/>
      </w:r>
    </w:p>
  </w:endnote>
  <w:endnote w:type="continuationSeparator" w:id="0">
    <w:p w:rsidR="00671B7E" w:rsidRDefault="0067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B7E" w:rsidRDefault="00671B7E">
      <w:r>
        <w:separator/>
      </w:r>
    </w:p>
  </w:footnote>
  <w:footnote w:type="continuationSeparator" w:id="0">
    <w:p w:rsidR="00671B7E" w:rsidRDefault="00671B7E">
      <w:r>
        <w:continuationSeparator/>
      </w:r>
    </w:p>
  </w:footnote>
  <w:footnote w:id="1">
    <w:p w:rsidR="00DA07DC" w:rsidRDefault="00DA07DC" w:rsidP="00DA07DC">
      <w:pPr>
        <w:pStyle w:val="Textpoznpodarou"/>
      </w:pPr>
      <w:r>
        <w:rPr>
          <w:rStyle w:val="Znakapoznpodarou"/>
        </w:rPr>
        <w:footnoteRef/>
      </w:r>
      <w:r>
        <w:t xml:space="preserve"> </w:t>
      </w:r>
      <w:r w:rsidRPr="00F01EBB">
        <w:t>V této souvislosti lze poukázat na to, že zmíněné informace jsou již v současn</w:t>
      </w:r>
      <w:r>
        <w:t>é době obsaženy na stránkách České národní banky</w:t>
      </w:r>
      <w:r w:rsidRPr="00F01EBB">
        <w:t xml:space="preserve"> a jsou rovněž obsaženy v č</w:t>
      </w:r>
      <w:r>
        <w:t>ásti „odůvodnění“ rozhodnutí České národní banky</w:t>
      </w:r>
      <w:r w:rsidRPr="00F01EBB">
        <w:t xml:space="preserve"> o schválení prospektu.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B7E" w:rsidRDefault="00671B7E">
    <w:pPr>
      <w:pStyle w:val="Zhlav"/>
      <w:rPr>
        <w:rStyle w:val="slostrnky"/>
      </w:rPr>
    </w:pPr>
  </w:p>
  <w:p w:rsidR="00671B7E" w:rsidRPr="00237B47" w:rsidRDefault="00671B7E" w:rsidP="00266D23">
    <w:pPr>
      <w:pStyle w:val="Zhlav"/>
      <w:framePr w:wrap="around" w:vAnchor="text" w:hAnchor="page" w:x="5902" w:y="-103"/>
      <w:rPr>
        <w:rStyle w:val="slostrnky"/>
        <w:rFonts w:ascii="Arial" w:hAnsi="Arial"/>
      </w:rPr>
    </w:pPr>
    <w:r w:rsidRPr="00237B47">
      <w:rPr>
        <w:rStyle w:val="slostrnky"/>
        <w:rFonts w:ascii="Arial" w:hAnsi="Arial"/>
      </w:rPr>
      <w:fldChar w:fldCharType="begin"/>
    </w:r>
    <w:r w:rsidRPr="00237B47">
      <w:rPr>
        <w:rStyle w:val="slostrnky"/>
        <w:rFonts w:ascii="Arial" w:hAnsi="Arial"/>
      </w:rPr>
      <w:instrText xml:space="preserve">PAGE  </w:instrText>
    </w:r>
    <w:r w:rsidRPr="00237B47">
      <w:rPr>
        <w:rStyle w:val="slostrnky"/>
        <w:rFonts w:ascii="Arial" w:hAnsi="Arial"/>
      </w:rPr>
      <w:fldChar w:fldCharType="separate"/>
    </w:r>
    <w:r w:rsidR="00C23CDA">
      <w:rPr>
        <w:rStyle w:val="slostrnky"/>
        <w:rFonts w:ascii="Arial" w:hAnsi="Arial"/>
        <w:noProof/>
      </w:rPr>
      <w:t>2</w:t>
    </w:r>
    <w:r w:rsidRPr="00237B47">
      <w:rPr>
        <w:rStyle w:val="slostrnky"/>
        <w:rFonts w:ascii="Arial" w:hAnsi="Arial"/>
      </w:rPr>
      <w:fldChar w:fldCharType="end"/>
    </w:r>
  </w:p>
  <w:p w:rsidR="00671B7E" w:rsidRPr="00DB083D" w:rsidRDefault="00671B7E">
    <w:pPr>
      <w:pStyle w:val="Zhlav"/>
      <w:rPr>
        <w:rStyle w:val="slostrnky"/>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50"/>
    <w:multiLevelType w:val="hybridMultilevel"/>
    <w:tmpl w:val="64C2E404"/>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43D3DEE"/>
    <w:multiLevelType w:val="hybridMultilevel"/>
    <w:tmpl w:val="0B0AE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65DCE"/>
    <w:multiLevelType w:val="hybridMultilevel"/>
    <w:tmpl w:val="0226C44E"/>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6FA4B20"/>
    <w:multiLevelType w:val="hybridMultilevel"/>
    <w:tmpl w:val="907E9EB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1B57E0A"/>
    <w:multiLevelType w:val="hybridMultilevel"/>
    <w:tmpl w:val="C4E2C41A"/>
    <w:lvl w:ilvl="0" w:tplc="C0840216">
      <w:start w:val="1"/>
      <w:numFmt w:val="bullet"/>
      <w:pStyle w:val="Barevnseznamzvraznn11"/>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404F25"/>
    <w:multiLevelType w:val="hybridMultilevel"/>
    <w:tmpl w:val="0DCA60D8"/>
    <w:lvl w:ilvl="0" w:tplc="4D120222">
      <w:start w:val="1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B9A0AF1"/>
    <w:multiLevelType w:val="hybridMultilevel"/>
    <w:tmpl w:val="FE84B84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24CF40A1"/>
    <w:multiLevelType w:val="hybridMultilevel"/>
    <w:tmpl w:val="681A1E5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24EB09AE"/>
    <w:multiLevelType w:val="hybridMultilevel"/>
    <w:tmpl w:val="129AF3B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29DE5879"/>
    <w:multiLevelType w:val="hybridMultilevel"/>
    <w:tmpl w:val="B0B8FE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A1C377B"/>
    <w:multiLevelType w:val="hybridMultilevel"/>
    <w:tmpl w:val="75BC48A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F6B6356"/>
    <w:multiLevelType w:val="hybridMultilevel"/>
    <w:tmpl w:val="8EE6ABE6"/>
    <w:lvl w:ilvl="0" w:tplc="08090001">
      <w:start w:val="1"/>
      <w:numFmt w:val="bullet"/>
      <w:pStyle w:val="odrkyodsazen2"/>
      <w:lvlText w:val=""/>
      <w:lvlJc w:val="left"/>
      <w:pPr>
        <w:tabs>
          <w:tab w:val="num" w:pos="511"/>
        </w:tabs>
        <w:ind w:left="511" w:hanging="511"/>
      </w:pPr>
      <w:rPr>
        <w:rFonts w:ascii="Wingdings" w:hAnsi="Wingdings" w:cs="Times New Roman" w:hint="default"/>
        <w:color w:val="008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F9D4D5A"/>
    <w:multiLevelType w:val="hybridMultilevel"/>
    <w:tmpl w:val="78BC5B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38B2243"/>
    <w:multiLevelType w:val="hybridMultilevel"/>
    <w:tmpl w:val="5622EEF6"/>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37A90E8D"/>
    <w:multiLevelType w:val="hybridMultilevel"/>
    <w:tmpl w:val="F2E873E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39D3176A"/>
    <w:multiLevelType w:val="hybridMultilevel"/>
    <w:tmpl w:val="EF04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2741D"/>
    <w:multiLevelType w:val="hybridMultilevel"/>
    <w:tmpl w:val="9D9E648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40791FC0"/>
    <w:multiLevelType w:val="hybridMultilevel"/>
    <w:tmpl w:val="83E46B5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40F06D47"/>
    <w:multiLevelType w:val="multilevel"/>
    <w:tmpl w:val="D4D4757A"/>
    <w:lvl w:ilvl="0">
      <w:start w:val="1"/>
      <w:numFmt w:val="decimal"/>
      <w:pStyle w:val="Nadpis1"/>
      <w:lvlText w:val="%1."/>
      <w:lvlJc w:val="left"/>
      <w:pPr>
        <w:ind w:left="2204" w:hanging="36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720" w:hanging="720"/>
      </w:pPr>
      <w:rPr>
        <w:rFonts w:hint="default"/>
      </w:rPr>
    </w:lvl>
    <w:lvl w:ilvl="3">
      <w:numFmt w:val="none"/>
      <w:pStyle w:val="Nadpis4"/>
      <w:lvlText w:val=""/>
      <w:lvlJc w:val="left"/>
      <w:pPr>
        <w:tabs>
          <w:tab w:val="num" w:pos="360"/>
        </w:tabs>
        <w:ind w:left="0" w:firstLine="0"/>
      </w:pPr>
      <w:rPr>
        <w:rFonts w:hint="default"/>
      </w:rPr>
    </w:lvl>
    <w:lvl w:ilvl="4">
      <w:numFmt w:val="decimal"/>
      <w:pStyle w:val="Nadpis5"/>
      <w:lvlText w:val=""/>
      <w:lvlJc w:val="left"/>
      <w:pPr>
        <w:ind w:left="0" w:firstLine="0"/>
      </w:pPr>
      <w:rPr>
        <w:rFonts w:hint="default"/>
      </w:rPr>
    </w:lvl>
    <w:lvl w:ilvl="5">
      <w:numFmt w:val="decimal"/>
      <w:pStyle w:val="Nadpis6"/>
      <w:lvlText w:val="ЉЉ"/>
      <w:lvlJc w:val="left"/>
      <w:pPr>
        <w:ind w:left="0" w:firstLine="0"/>
      </w:pPr>
      <w:rPr>
        <w:rFonts w:hint="default"/>
      </w:rPr>
    </w:lvl>
    <w:lvl w:ilvl="6">
      <w:numFmt w:val="none"/>
      <w:pStyle w:val="Nadpis7"/>
      <w:lvlText w:val=""/>
      <w:lvlJc w:val="left"/>
      <w:pPr>
        <w:tabs>
          <w:tab w:val="num" w:pos="360"/>
        </w:tabs>
        <w:ind w:left="0" w:firstLine="0"/>
      </w:pPr>
      <w:rPr>
        <w:rFonts w:hint="default"/>
      </w:rPr>
    </w:lvl>
    <w:lvl w:ilvl="7">
      <w:numFmt w:val="decimal"/>
      <w:pStyle w:val="Nadpis8"/>
      <w:lvlText w:val=""/>
      <w:lvlJc w:val="left"/>
      <w:pPr>
        <w:ind w:left="0" w:firstLine="0"/>
      </w:pPr>
      <w:rPr>
        <w:rFonts w:hint="default"/>
      </w:rPr>
    </w:lvl>
    <w:lvl w:ilvl="8">
      <w:numFmt w:val="decimal"/>
      <w:pStyle w:val="Nadpis9"/>
      <w:lvlText w:val="ࠐༀᄀ帀怀漀(梇䢈ᠲ"/>
      <w:lvlJc w:val="left"/>
      <w:pPr>
        <w:ind w:left="0" w:firstLine="0"/>
      </w:pPr>
      <w:rPr>
        <w:rFonts w:hint="default"/>
      </w:rPr>
    </w:lvl>
  </w:abstractNum>
  <w:abstractNum w:abstractNumId="19">
    <w:nsid w:val="43957B38"/>
    <w:multiLevelType w:val="multilevel"/>
    <w:tmpl w:val="36A6F27C"/>
    <w:lvl w:ilvl="0">
      <w:numFmt w:val="none"/>
      <w:lvlText w:val=""/>
      <w:lvlJc w:val="left"/>
      <w:pPr>
        <w:tabs>
          <w:tab w:val="num" w:pos="360"/>
        </w:tabs>
      </w:pPr>
    </w:lvl>
    <w:lvl w:ilvl="1">
      <w:numFmt w:val="none"/>
      <w:pStyle w:val="Styl2"/>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015138"/>
    <w:multiLevelType w:val="hybridMultilevel"/>
    <w:tmpl w:val="31FE2414"/>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9992D58"/>
    <w:multiLevelType w:val="hybridMultilevel"/>
    <w:tmpl w:val="9DC055C4"/>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4E1838B0"/>
    <w:multiLevelType w:val="hybridMultilevel"/>
    <w:tmpl w:val="3946A346"/>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3">
    <w:nsid w:val="529B5509"/>
    <w:multiLevelType w:val="hybridMultilevel"/>
    <w:tmpl w:val="3864D51A"/>
    <w:lvl w:ilvl="0" w:tplc="DED2BB18">
      <w:start w:val="1"/>
      <w:numFmt w:val="lowerLetter"/>
      <w:lvlText w:val="%1)"/>
      <w:lvlJc w:val="left"/>
      <w:pPr>
        <w:tabs>
          <w:tab w:val="num" w:pos="720"/>
        </w:tabs>
        <w:ind w:left="720" w:hanging="360"/>
      </w:pPr>
      <w:rPr>
        <w:b w:val="0"/>
        <w:bCs w:val="0"/>
      </w:rPr>
    </w:lvl>
    <w:lvl w:ilvl="1" w:tplc="04050019">
      <w:start w:val="1"/>
      <w:numFmt w:val="lowerLetter"/>
      <w:lvlText w:val="%2."/>
      <w:lvlJc w:val="left"/>
      <w:pPr>
        <w:tabs>
          <w:tab w:val="num" w:pos="1440"/>
        </w:tabs>
        <w:ind w:left="1440" w:hanging="360"/>
      </w:pPr>
    </w:lvl>
    <w:lvl w:ilvl="2" w:tplc="4EE884B2">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5CC65AC5"/>
    <w:multiLevelType w:val="hybridMultilevel"/>
    <w:tmpl w:val="F6085B36"/>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5E50762D"/>
    <w:multiLevelType w:val="hybridMultilevel"/>
    <w:tmpl w:val="4844A50E"/>
    <w:lvl w:ilvl="0" w:tplc="8730B36C">
      <w:start w:val="1"/>
      <w:numFmt w:val="lowerLetter"/>
      <w:lvlText w:val="%1)"/>
      <w:lvlJc w:val="left"/>
      <w:pPr>
        <w:tabs>
          <w:tab w:val="num" w:pos="720"/>
        </w:tabs>
        <w:ind w:left="720" w:hanging="360"/>
      </w:pPr>
      <w:rPr>
        <w:rFonts w:ascii="Arial" w:hAnsi="Arial" w:cs="Arial" w:hint="default"/>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6989082A"/>
    <w:multiLevelType w:val="hybridMultilevel"/>
    <w:tmpl w:val="98AED0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69B769A5"/>
    <w:multiLevelType w:val="hybridMultilevel"/>
    <w:tmpl w:val="3522BB9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nsid w:val="6FE158F0"/>
    <w:multiLevelType w:val="hybridMultilevel"/>
    <w:tmpl w:val="57DCF27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nsid w:val="7C43700A"/>
    <w:multiLevelType w:val="hybridMultilevel"/>
    <w:tmpl w:val="D88E5C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C732804"/>
    <w:multiLevelType w:val="hybridMultilevel"/>
    <w:tmpl w:val="9E5497D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7EEC6C42"/>
    <w:multiLevelType w:val="hybridMultilevel"/>
    <w:tmpl w:val="CED6A8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19"/>
  </w:num>
  <w:num w:numId="4">
    <w:abstractNumId w:val="11"/>
  </w:num>
  <w:num w:numId="5">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771753216"/>
    </w:lvlOverride>
    <w:lvlOverride w:ilvl="7">
      <w:startOverride w:val="118492416"/>
    </w:lvlOverride>
    <w:lvlOverride w:ilvl="8"/>
  </w:num>
  <w:num w:numId="6">
    <w:abstractNumId w:val="1"/>
  </w:num>
  <w:num w:numId="7">
    <w:abstractNumId w:val="15"/>
  </w:num>
  <w:num w:numId="8">
    <w:abstractNumId w:val="22"/>
  </w:num>
  <w:num w:numId="9">
    <w:abstractNumId w:val="0"/>
  </w:num>
  <w:num w:numId="10">
    <w:abstractNumId w:val="8"/>
  </w:num>
  <w:num w:numId="11">
    <w:abstractNumId w:val="23"/>
  </w:num>
  <w:num w:numId="12">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6"/>
  </w:num>
  <w:num w:numId="14">
    <w:abstractNumId w:val="25"/>
  </w:num>
  <w:num w:numId="15">
    <w:abstractNumId w:val="2"/>
  </w:num>
  <w:num w:numId="16">
    <w:abstractNumId w:val="20"/>
  </w:num>
  <w:num w:numId="17">
    <w:abstractNumId w:val="30"/>
  </w:num>
  <w:num w:numId="18">
    <w:abstractNumId w:val="7"/>
  </w:num>
  <w:num w:numId="19">
    <w:abstractNumId w:val="13"/>
  </w:num>
  <w:num w:numId="20">
    <w:abstractNumId w:val="21"/>
  </w:num>
  <w:num w:numId="21">
    <w:abstractNumId w:val="28"/>
  </w:num>
  <w:num w:numId="22">
    <w:abstractNumId w:val="3"/>
  </w:num>
  <w:num w:numId="23">
    <w:abstractNumId w:val="17"/>
  </w:num>
  <w:num w:numId="24">
    <w:abstractNumId w:val="14"/>
  </w:num>
  <w:num w:numId="25">
    <w:abstractNumId w:val="10"/>
  </w:num>
  <w:num w:numId="26">
    <w:abstractNumId w:val="24"/>
  </w:num>
  <w:num w:numId="27">
    <w:abstractNumId w:val="16"/>
  </w:num>
  <w:num w:numId="28">
    <w:abstractNumId w:val="27"/>
  </w:num>
  <w:num w:numId="29">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26"/>
  </w:num>
  <w:num w:numId="31">
    <w:abstractNumId w:val="18"/>
  </w:num>
  <w:num w:numId="32">
    <w:abstractNumId w:val="18"/>
  </w:num>
  <w:num w:numId="33">
    <w:abstractNumId w:val="18"/>
  </w:num>
  <w:num w:numId="34">
    <w:abstractNumId w:val="5"/>
  </w:num>
  <w:num w:numId="35">
    <w:abstractNumId w:val="12"/>
  </w:num>
  <w:num w:numId="36">
    <w:abstractNumId w:val="9"/>
  </w:num>
  <w:num w:numId="37">
    <w:abstractNumId w:val="29"/>
  </w:num>
  <w:num w:numId="38">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D9A"/>
    <w:rsid w:val="00000B7E"/>
    <w:rsid w:val="000062A7"/>
    <w:rsid w:val="00007A07"/>
    <w:rsid w:val="000152B7"/>
    <w:rsid w:val="00015967"/>
    <w:rsid w:val="0001648B"/>
    <w:rsid w:val="00017BDC"/>
    <w:rsid w:val="00042536"/>
    <w:rsid w:val="00055484"/>
    <w:rsid w:val="000600B8"/>
    <w:rsid w:val="0006246F"/>
    <w:rsid w:val="00063BAC"/>
    <w:rsid w:val="00075CC6"/>
    <w:rsid w:val="00085473"/>
    <w:rsid w:val="00090D60"/>
    <w:rsid w:val="00092DCC"/>
    <w:rsid w:val="00095DE7"/>
    <w:rsid w:val="00096A75"/>
    <w:rsid w:val="000A0BBB"/>
    <w:rsid w:val="000A2121"/>
    <w:rsid w:val="000A3BB8"/>
    <w:rsid w:val="000B6C71"/>
    <w:rsid w:val="000C7E42"/>
    <w:rsid w:val="000D034E"/>
    <w:rsid w:val="000D240A"/>
    <w:rsid w:val="000E41BB"/>
    <w:rsid w:val="000F4FDE"/>
    <w:rsid w:val="000F7CE1"/>
    <w:rsid w:val="001054CB"/>
    <w:rsid w:val="00107C05"/>
    <w:rsid w:val="0011016A"/>
    <w:rsid w:val="00111947"/>
    <w:rsid w:val="0011390E"/>
    <w:rsid w:val="00113BD0"/>
    <w:rsid w:val="0011653B"/>
    <w:rsid w:val="001175C4"/>
    <w:rsid w:val="001265EA"/>
    <w:rsid w:val="00133E5D"/>
    <w:rsid w:val="00140461"/>
    <w:rsid w:val="001431E9"/>
    <w:rsid w:val="00164822"/>
    <w:rsid w:val="001703BB"/>
    <w:rsid w:val="00175BB4"/>
    <w:rsid w:val="001874D5"/>
    <w:rsid w:val="0019190F"/>
    <w:rsid w:val="00192853"/>
    <w:rsid w:val="00193A09"/>
    <w:rsid w:val="001B4C88"/>
    <w:rsid w:val="001C21DC"/>
    <w:rsid w:val="001C2E0F"/>
    <w:rsid w:val="001D010C"/>
    <w:rsid w:val="001D0F4B"/>
    <w:rsid w:val="001D2667"/>
    <w:rsid w:val="001D3384"/>
    <w:rsid w:val="001D76E7"/>
    <w:rsid w:val="001E1F5D"/>
    <w:rsid w:val="001E4EC1"/>
    <w:rsid w:val="001E5A36"/>
    <w:rsid w:val="001E61CE"/>
    <w:rsid w:val="001F50E4"/>
    <w:rsid w:val="001F6597"/>
    <w:rsid w:val="001F6DE2"/>
    <w:rsid w:val="00200821"/>
    <w:rsid w:val="00201D6C"/>
    <w:rsid w:val="00205F5E"/>
    <w:rsid w:val="00212735"/>
    <w:rsid w:val="002134EE"/>
    <w:rsid w:val="0022062D"/>
    <w:rsid w:val="002256A7"/>
    <w:rsid w:val="00233137"/>
    <w:rsid w:val="00236360"/>
    <w:rsid w:val="00237B47"/>
    <w:rsid w:val="0024419F"/>
    <w:rsid w:val="002451EB"/>
    <w:rsid w:val="0026064A"/>
    <w:rsid w:val="00263B1B"/>
    <w:rsid w:val="00265074"/>
    <w:rsid w:val="00266D23"/>
    <w:rsid w:val="00277A5F"/>
    <w:rsid w:val="00284C5D"/>
    <w:rsid w:val="00287892"/>
    <w:rsid w:val="00292EE3"/>
    <w:rsid w:val="00296E77"/>
    <w:rsid w:val="00297C4A"/>
    <w:rsid w:val="002A0CA4"/>
    <w:rsid w:val="002C3ECF"/>
    <w:rsid w:val="002C631B"/>
    <w:rsid w:val="002D3BAC"/>
    <w:rsid w:val="002D6092"/>
    <w:rsid w:val="002D70F6"/>
    <w:rsid w:val="002E04E7"/>
    <w:rsid w:val="002E178E"/>
    <w:rsid w:val="002E212B"/>
    <w:rsid w:val="002F0DEC"/>
    <w:rsid w:val="002F2835"/>
    <w:rsid w:val="00300AD1"/>
    <w:rsid w:val="003109AD"/>
    <w:rsid w:val="003130D3"/>
    <w:rsid w:val="00320A65"/>
    <w:rsid w:val="0032260B"/>
    <w:rsid w:val="00323687"/>
    <w:rsid w:val="00324258"/>
    <w:rsid w:val="00325254"/>
    <w:rsid w:val="00331DCE"/>
    <w:rsid w:val="0033519D"/>
    <w:rsid w:val="00336760"/>
    <w:rsid w:val="00337773"/>
    <w:rsid w:val="00343C7B"/>
    <w:rsid w:val="0034616F"/>
    <w:rsid w:val="003468CA"/>
    <w:rsid w:val="00356D12"/>
    <w:rsid w:val="00357D39"/>
    <w:rsid w:val="00366A02"/>
    <w:rsid w:val="00377D53"/>
    <w:rsid w:val="0038110C"/>
    <w:rsid w:val="00390441"/>
    <w:rsid w:val="00393938"/>
    <w:rsid w:val="00393C93"/>
    <w:rsid w:val="003A34CB"/>
    <w:rsid w:val="003A46B1"/>
    <w:rsid w:val="003A47E2"/>
    <w:rsid w:val="003A6744"/>
    <w:rsid w:val="003B0087"/>
    <w:rsid w:val="003B4FAB"/>
    <w:rsid w:val="003B629D"/>
    <w:rsid w:val="003B76DB"/>
    <w:rsid w:val="003C5699"/>
    <w:rsid w:val="003D44E9"/>
    <w:rsid w:val="003F0BFB"/>
    <w:rsid w:val="00400894"/>
    <w:rsid w:val="00404A76"/>
    <w:rsid w:val="00405714"/>
    <w:rsid w:val="00407797"/>
    <w:rsid w:val="00407AB3"/>
    <w:rsid w:val="00410462"/>
    <w:rsid w:val="00421C55"/>
    <w:rsid w:val="00422C63"/>
    <w:rsid w:val="004503DF"/>
    <w:rsid w:val="0045760C"/>
    <w:rsid w:val="00461EC2"/>
    <w:rsid w:val="00465E4E"/>
    <w:rsid w:val="00467526"/>
    <w:rsid w:val="004723F9"/>
    <w:rsid w:val="004775A1"/>
    <w:rsid w:val="004908B2"/>
    <w:rsid w:val="004B1E73"/>
    <w:rsid w:val="004B5768"/>
    <w:rsid w:val="004B6601"/>
    <w:rsid w:val="004B6870"/>
    <w:rsid w:val="004B6BCA"/>
    <w:rsid w:val="004C29DF"/>
    <w:rsid w:val="004C6381"/>
    <w:rsid w:val="004C6588"/>
    <w:rsid w:val="004D144B"/>
    <w:rsid w:val="004E6927"/>
    <w:rsid w:val="005004B6"/>
    <w:rsid w:val="00500E5F"/>
    <w:rsid w:val="00501589"/>
    <w:rsid w:val="0050163E"/>
    <w:rsid w:val="00516F53"/>
    <w:rsid w:val="00520E62"/>
    <w:rsid w:val="005273EA"/>
    <w:rsid w:val="00532318"/>
    <w:rsid w:val="00532E79"/>
    <w:rsid w:val="0053304A"/>
    <w:rsid w:val="00533E1A"/>
    <w:rsid w:val="005341AC"/>
    <w:rsid w:val="0053430E"/>
    <w:rsid w:val="00540C63"/>
    <w:rsid w:val="0054401A"/>
    <w:rsid w:val="00547A7E"/>
    <w:rsid w:val="0055468F"/>
    <w:rsid w:val="005750E8"/>
    <w:rsid w:val="00580330"/>
    <w:rsid w:val="0058547A"/>
    <w:rsid w:val="00590084"/>
    <w:rsid w:val="00593E1E"/>
    <w:rsid w:val="005A2589"/>
    <w:rsid w:val="005A3614"/>
    <w:rsid w:val="005A6FF0"/>
    <w:rsid w:val="005B2328"/>
    <w:rsid w:val="005B678E"/>
    <w:rsid w:val="005C081C"/>
    <w:rsid w:val="005C4EE6"/>
    <w:rsid w:val="005C5B8E"/>
    <w:rsid w:val="005C5E31"/>
    <w:rsid w:val="005C6F14"/>
    <w:rsid w:val="005C78DB"/>
    <w:rsid w:val="005F09C6"/>
    <w:rsid w:val="005F39AE"/>
    <w:rsid w:val="00603EAA"/>
    <w:rsid w:val="00613363"/>
    <w:rsid w:val="00623FBE"/>
    <w:rsid w:val="006318C3"/>
    <w:rsid w:val="00636BDB"/>
    <w:rsid w:val="00640237"/>
    <w:rsid w:val="00645C68"/>
    <w:rsid w:val="00647B91"/>
    <w:rsid w:val="00656404"/>
    <w:rsid w:val="00664E1E"/>
    <w:rsid w:val="00665597"/>
    <w:rsid w:val="00671B7E"/>
    <w:rsid w:val="0068311C"/>
    <w:rsid w:val="00683D9E"/>
    <w:rsid w:val="0068438F"/>
    <w:rsid w:val="006871EF"/>
    <w:rsid w:val="006934EF"/>
    <w:rsid w:val="0069525C"/>
    <w:rsid w:val="00697E1F"/>
    <w:rsid w:val="006A1820"/>
    <w:rsid w:val="006A3083"/>
    <w:rsid w:val="006A6A3F"/>
    <w:rsid w:val="006B0760"/>
    <w:rsid w:val="006B4BE2"/>
    <w:rsid w:val="006B7FDD"/>
    <w:rsid w:val="006C0B42"/>
    <w:rsid w:val="006C1323"/>
    <w:rsid w:val="006C3920"/>
    <w:rsid w:val="006C4727"/>
    <w:rsid w:val="006F1A67"/>
    <w:rsid w:val="006F3109"/>
    <w:rsid w:val="006F60E6"/>
    <w:rsid w:val="006F6E82"/>
    <w:rsid w:val="006F76FB"/>
    <w:rsid w:val="00701CC8"/>
    <w:rsid w:val="00706993"/>
    <w:rsid w:val="007228D6"/>
    <w:rsid w:val="007264DC"/>
    <w:rsid w:val="007337E0"/>
    <w:rsid w:val="00734124"/>
    <w:rsid w:val="00734314"/>
    <w:rsid w:val="0073531E"/>
    <w:rsid w:val="007531DD"/>
    <w:rsid w:val="00753706"/>
    <w:rsid w:val="00770AF8"/>
    <w:rsid w:val="00770B6E"/>
    <w:rsid w:val="007738A9"/>
    <w:rsid w:val="00777879"/>
    <w:rsid w:val="00783E9C"/>
    <w:rsid w:val="00794DAA"/>
    <w:rsid w:val="00796763"/>
    <w:rsid w:val="007A6F10"/>
    <w:rsid w:val="007B6310"/>
    <w:rsid w:val="007C0116"/>
    <w:rsid w:val="007D0186"/>
    <w:rsid w:val="007D0460"/>
    <w:rsid w:val="007D08FE"/>
    <w:rsid w:val="007D0BA0"/>
    <w:rsid w:val="007D2859"/>
    <w:rsid w:val="007D7BC2"/>
    <w:rsid w:val="007E4401"/>
    <w:rsid w:val="007E6C0B"/>
    <w:rsid w:val="007F1027"/>
    <w:rsid w:val="00801161"/>
    <w:rsid w:val="00802206"/>
    <w:rsid w:val="00802E8C"/>
    <w:rsid w:val="00807D72"/>
    <w:rsid w:val="00811CD3"/>
    <w:rsid w:val="00820C94"/>
    <w:rsid w:val="0082316C"/>
    <w:rsid w:val="00824175"/>
    <w:rsid w:val="00824F29"/>
    <w:rsid w:val="0083580F"/>
    <w:rsid w:val="00835D49"/>
    <w:rsid w:val="008408BF"/>
    <w:rsid w:val="00842CE4"/>
    <w:rsid w:val="008433BD"/>
    <w:rsid w:val="00844CA9"/>
    <w:rsid w:val="008452D9"/>
    <w:rsid w:val="00847CC3"/>
    <w:rsid w:val="0085176B"/>
    <w:rsid w:val="00851B15"/>
    <w:rsid w:val="00872541"/>
    <w:rsid w:val="008725EC"/>
    <w:rsid w:val="008801A6"/>
    <w:rsid w:val="008806F7"/>
    <w:rsid w:val="00880C14"/>
    <w:rsid w:val="00883E33"/>
    <w:rsid w:val="00884D90"/>
    <w:rsid w:val="00887733"/>
    <w:rsid w:val="008B12FD"/>
    <w:rsid w:val="008B78A0"/>
    <w:rsid w:val="008C022C"/>
    <w:rsid w:val="008C097D"/>
    <w:rsid w:val="008D7C2A"/>
    <w:rsid w:val="008E2CDA"/>
    <w:rsid w:val="008E2E77"/>
    <w:rsid w:val="008F024F"/>
    <w:rsid w:val="008F2096"/>
    <w:rsid w:val="00901CB4"/>
    <w:rsid w:val="0091421E"/>
    <w:rsid w:val="00916182"/>
    <w:rsid w:val="0092143F"/>
    <w:rsid w:val="00921F4A"/>
    <w:rsid w:val="00922E9C"/>
    <w:rsid w:val="009263C8"/>
    <w:rsid w:val="00926AA0"/>
    <w:rsid w:val="0093588E"/>
    <w:rsid w:val="009366B5"/>
    <w:rsid w:val="009368FF"/>
    <w:rsid w:val="009413D1"/>
    <w:rsid w:val="00942152"/>
    <w:rsid w:val="009441FD"/>
    <w:rsid w:val="0095621B"/>
    <w:rsid w:val="00965FDA"/>
    <w:rsid w:val="0097327A"/>
    <w:rsid w:val="0098220F"/>
    <w:rsid w:val="00983961"/>
    <w:rsid w:val="00987C47"/>
    <w:rsid w:val="00990097"/>
    <w:rsid w:val="00992835"/>
    <w:rsid w:val="009A6419"/>
    <w:rsid w:val="009B1426"/>
    <w:rsid w:val="009B49F0"/>
    <w:rsid w:val="009C0D4F"/>
    <w:rsid w:val="009C2D9A"/>
    <w:rsid w:val="009C53F2"/>
    <w:rsid w:val="009D495F"/>
    <w:rsid w:val="009D5040"/>
    <w:rsid w:val="009E2A66"/>
    <w:rsid w:val="009E7B92"/>
    <w:rsid w:val="009F0C11"/>
    <w:rsid w:val="009F1439"/>
    <w:rsid w:val="009F4A99"/>
    <w:rsid w:val="00A015DA"/>
    <w:rsid w:val="00A023B2"/>
    <w:rsid w:val="00A05374"/>
    <w:rsid w:val="00A06960"/>
    <w:rsid w:val="00A10416"/>
    <w:rsid w:val="00A10DEA"/>
    <w:rsid w:val="00A15394"/>
    <w:rsid w:val="00A30DBD"/>
    <w:rsid w:val="00A315F2"/>
    <w:rsid w:val="00A32473"/>
    <w:rsid w:val="00A351C3"/>
    <w:rsid w:val="00A36ADC"/>
    <w:rsid w:val="00A36D24"/>
    <w:rsid w:val="00A51681"/>
    <w:rsid w:val="00A56991"/>
    <w:rsid w:val="00A621C1"/>
    <w:rsid w:val="00A65081"/>
    <w:rsid w:val="00A6612A"/>
    <w:rsid w:val="00A72BB5"/>
    <w:rsid w:val="00A76271"/>
    <w:rsid w:val="00A810D4"/>
    <w:rsid w:val="00A83E47"/>
    <w:rsid w:val="00A869A4"/>
    <w:rsid w:val="00A9088C"/>
    <w:rsid w:val="00A9201E"/>
    <w:rsid w:val="00AA14D9"/>
    <w:rsid w:val="00AA75E8"/>
    <w:rsid w:val="00AC026F"/>
    <w:rsid w:val="00AC0AA6"/>
    <w:rsid w:val="00AC6E55"/>
    <w:rsid w:val="00AC7661"/>
    <w:rsid w:val="00AD6137"/>
    <w:rsid w:val="00AD6AE4"/>
    <w:rsid w:val="00AE359B"/>
    <w:rsid w:val="00AF2F89"/>
    <w:rsid w:val="00AF650A"/>
    <w:rsid w:val="00B0677E"/>
    <w:rsid w:val="00B13105"/>
    <w:rsid w:val="00B21B81"/>
    <w:rsid w:val="00B308B1"/>
    <w:rsid w:val="00B36AA9"/>
    <w:rsid w:val="00B37B0D"/>
    <w:rsid w:val="00B42F27"/>
    <w:rsid w:val="00B45931"/>
    <w:rsid w:val="00B5165A"/>
    <w:rsid w:val="00B57F62"/>
    <w:rsid w:val="00B62C54"/>
    <w:rsid w:val="00B655D7"/>
    <w:rsid w:val="00B70735"/>
    <w:rsid w:val="00B722D1"/>
    <w:rsid w:val="00B84590"/>
    <w:rsid w:val="00B84B42"/>
    <w:rsid w:val="00B84FC0"/>
    <w:rsid w:val="00B87740"/>
    <w:rsid w:val="00B925BF"/>
    <w:rsid w:val="00B95916"/>
    <w:rsid w:val="00BA083D"/>
    <w:rsid w:val="00BA1D97"/>
    <w:rsid w:val="00BA37DA"/>
    <w:rsid w:val="00BC7AFA"/>
    <w:rsid w:val="00BD1F40"/>
    <w:rsid w:val="00BD4BB0"/>
    <w:rsid w:val="00BE03DF"/>
    <w:rsid w:val="00BE3295"/>
    <w:rsid w:val="00BF222C"/>
    <w:rsid w:val="00BF4F1D"/>
    <w:rsid w:val="00BF631A"/>
    <w:rsid w:val="00C17608"/>
    <w:rsid w:val="00C20119"/>
    <w:rsid w:val="00C20A99"/>
    <w:rsid w:val="00C21524"/>
    <w:rsid w:val="00C223C1"/>
    <w:rsid w:val="00C23CDA"/>
    <w:rsid w:val="00C25ACF"/>
    <w:rsid w:val="00C34DDF"/>
    <w:rsid w:val="00C36F9C"/>
    <w:rsid w:val="00C55396"/>
    <w:rsid w:val="00C6626E"/>
    <w:rsid w:val="00C741CC"/>
    <w:rsid w:val="00C755CC"/>
    <w:rsid w:val="00C92333"/>
    <w:rsid w:val="00C9455C"/>
    <w:rsid w:val="00C96453"/>
    <w:rsid w:val="00CA1EE8"/>
    <w:rsid w:val="00CA47F7"/>
    <w:rsid w:val="00CA7299"/>
    <w:rsid w:val="00CB0C5C"/>
    <w:rsid w:val="00CB65F1"/>
    <w:rsid w:val="00CB6858"/>
    <w:rsid w:val="00CB7632"/>
    <w:rsid w:val="00CC4602"/>
    <w:rsid w:val="00CC49F1"/>
    <w:rsid w:val="00CC4EF7"/>
    <w:rsid w:val="00CC7240"/>
    <w:rsid w:val="00CD3396"/>
    <w:rsid w:val="00CD46C9"/>
    <w:rsid w:val="00CE2D16"/>
    <w:rsid w:val="00CE52FE"/>
    <w:rsid w:val="00D009CA"/>
    <w:rsid w:val="00D05C25"/>
    <w:rsid w:val="00D06647"/>
    <w:rsid w:val="00D22D7D"/>
    <w:rsid w:val="00D343BA"/>
    <w:rsid w:val="00D3508F"/>
    <w:rsid w:val="00D50F36"/>
    <w:rsid w:val="00D530E5"/>
    <w:rsid w:val="00D537F1"/>
    <w:rsid w:val="00D575D4"/>
    <w:rsid w:val="00D625C4"/>
    <w:rsid w:val="00D776D7"/>
    <w:rsid w:val="00D80085"/>
    <w:rsid w:val="00D8593C"/>
    <w:rsid w:val="00D86AFC"/>
    <w:rsid w:val="00D936C1"/>
    <w:rsid w:val="00D97680"/>
    <w:rsid w:val="00DA07DC"/>
    <w:rsid w:val="00DA59A9"/>
    <w:rsid w:val="00DA7995"/>
    <w:rsid w:val="00DB0D2D"/>
    <w:rsid w:val="00DB1D1A"/>
    <w:rsid w:val="00DB63AC"/>
    <w:rsid w:val="00DD065A"/>
    <w:rsid w:val="00DD694D"/>
    <w:rsid w:val="00DE0AEA"/>
    <w:rsid w:val="00DE445F"/>
    <w:rsid w:val="00DE6CF0"/>
    <w:rsid w:val="00DF3E22"/>
    <w:rsid w:val="00DF49B3"/>
    <w:rsid w:val="00DF558D"/>
    <w:rsid w:val="00E01E8D"/>
    <w:rsid w:val="00E06EC3"/>
    <w:rsid w:val="00E12E59"/>
    <w:rsid w:val="00E133AC"/>
    <w:rsid w:val="00E15385"/>
    <w:rsid w:val="00E21472"/>
    <w:rsid w:val="00E23D99"/>
    <w:rsid w:val="00E2569B"/>
    <w:rsid w:val="00E33A1E"/>
    <w:rsid w:val="00E35953"/>
    <w:rsid w:val="00E42B80"/>
    <w:rsid w:val="00E512D2"/>
    <w:rsid w:val="00E53F29"/>
    <w:rsid w:val="00E55122"/>
    <w:rsid w:val="00E57A48"/>
    <w:rsid w:val="00E73428"/>
    <w:rsid w:val="00E7366E"/>
    <w:rsid w:val="00E85DE6"/>
    <w:rsid w:val="00E900AF"/>
    <w:rsid w:val="00E95B05"/>
    <w:rsid w:val="00EA6729"/>
    <w:rsid w:val="00EB03CB"/>
    <w:rsid w:val="00EB4F0F"/>
    <w:rsid w:val="00EC150F"/>
    <w:rsid w:val="00EC3B1D"/>
    <w:rsid w:val="00EC475E"/>
    <w:rsid w:val="00EC77A3"/>
    <w:rsid w:val="00EC7D98"/>
    <w:rsid w:val="00ED138A"/>
    <w:rsid w:val="00ED34BF"/>
    <w:rsid w:val="00ED3976"/>
    <w:rsid w:val="00EF47A2"/>
    <w:rsid w:val="00EF5232"/>
    <w:rsid w:val="00F00588"/>
    <w:rsid w:val="00F11DA4"/>
    <w:rsid w:val="00F16DBD"/>
    <w:rsid w:val="00F21ED0"/>
    <w:rsid w:val="00F24874"/>
    <w:rsid w:val="00F30D57"/>
    <w:rsid w:val="00F31FC6"/>
    <w:rsid w:val="00F43092"/>
    <w:rsid w:val="00F466E2"/>
    <w:rsid w:val="00F52F81"/>
    <w:rsid w:val="00F56284"/>
    <w:rsid w:val="00F67553"/>
    <w:rsid w:val="00F70F21"/>
    <w:rsid w:val="00F858FC"/>
    <w:rsid w:val="00F85D8E"/>
    <w:rsid w:val="00F9278B"/>
    <w:rsid w:val="00F92A70"/>
    <w:rsid w:val="00F93F12"/>
    <w:rsid w:val="00F9471D"/>
    <w:rsid w:val="00FB273D"/>
    <w:rsid w:val="00FB6520"/>
    <w:rsid w:val="00FB71E8"/>
    <w:rsid w:val="00FC23CC"/>
    <w:rsid w:val="00FE2B99"/>
    <w:rsid w:val="00FF15EE"/>
    <w:rsid w:val="00FF2479"/>
    <w:rsid w:val="00FF6F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2D9A"/>
    <w:pPr>
      <w:spacing w:before="120" w:after="120" w:line="264" w:lineRule="auto"/>
      <w:jc w:val="both"/>
    </w:pPr>
    <w:rPr>
      <w:rFonts w:ascii="Arial" w:eastAsia="MS Mincho" w:hAnsi="Arial"/>
      <w:sz w:val="24"/>
      <w:szCs w:val="24"/>
      <w:lang w:eastAsia="en-US"/>
    </w:rPr>
  </w:style>
  <w:style w:type="paragraph" w:styleId="Nadpis1">
    <w:name w:val="heading 1"/>
    <w:basedOn w:val="Normln"/>
    <w:next w:val="Normln"/>
    <w:link w:val="Nadpis1Char"/>
    <w:qFormat/>
    <w:rsid w:val="009C2D9A"/>
    <w:pPr>
      <w:keepNext/>
      <w:keepLines/>
      <w:numPr>
        <w:numId w:val="1"/>
      </w:numPr>
      <w:spacing w:before="480"/>
      <w:jc w:val="center"/>
      <w:outlineLvl w:val="0"/>
    </w:pPr>
    <w:rPr>
      <w:rFonts w:eastAsia="MS Gothic"/>
      <w:b/>
      <w:bCs/>
      <w:sz w:val="32"/>
      <w:szCs w:val="32"/>
      <w:lang w:val="x-none" w:eastAsia="x-none"/>
    </w:rPr>
  </w:style>
  <w:style w:type="paragraph" w:styleId="Nadpis2">
    <w:name w:val="heading 2"/>
    <w:basedOn w:val="Normln"/>
    <w:next w:val="Normln"/>
    <w:link w:val="Nadpis2Char"/>
    <w:qFormat/>
    <w:rsid w:val="000A2121"/>
    <w:pPr>
      <w:keepNext/>
      <w:keepLines/>
      <w:numPr>
        <w:ilvl w:val="1"/>
        <w:numId w:val="1"/>
      </w:numPr>
      <w:tabs>
        <w:tab w:val="left" w:pos="0"/>
      </w:tabs>
      <w:outlineLvl w:val="1"/>
    </w:pPr>
    <w:rPr>
      <w:rFonts w:eastAsia="MS Gothic"/>
      <w:b/>
      <w:bCs/>
      <w:sz w:val="28"/>
      <w:szCs w:val="28"/>
      <w:lang w:val="x-none" w:eastAsia="x-none"/>
    </w:rPr>
  </w:style>
  <w:style w:type="paragraph" w:styleId="Nadpis3">
    <w:name w:val="heading 3"/>
    <w:basedOn w:val="Normln"/>
    <w:next w:val="Normln"/>
    <w:link w:val="Nadpis3Char"/>
    <w:qFormat/>
    <w:rsid w:val="009C2D9A"/>
    <w:pPr>
      <w:keepNext/>
      <w:keepLines/>
      <w:numPr>
        <w:ilvl w:val="2"/>
        <w:numId w:val="1"/>
      </w:numPr>
      <w:spacing w:before="200"/>
      <w:outlineLvl w:val="2"/>
    </w:pPr>
    <w:rPr>
      <w:rFonts w:ascii="Calibri" w:eastAsia="MS Gothic" w:hAnsi="Calibri"/>
      <w:b/>
      <w:bCs/>
      <w:lang w:val="x-none" w:eastAsia="x-none"/>
    </w:rPr>
  </w:style>
  <w:style w:type="paragraph" w:styleId="Nadpis4">
    <w:name w:val="heading 4"/>
    <w:basedOn w:val="Normln"/>
    <w:next w:val="Normln"/>
    <w:link w:val="Nadpis4Char"/>
    <w:qFormat/>
    <w:rsid w:val="009C2D9A"/>
    <w:pPr>
      <w:keepNext/>
      <w:keepLines/>
      <w:numPr>
        <w:ilvl w:val="3"/>
        <w:numId w:val="1"/>
      </w:numPr>
      <w:spacing w:before="200"/>
      <w:outlineLvl w:val="3"/>
    </w:pPr>
    <w:rPr>
      <w:rFonts w:ascii="Calibri" w:eastAsia="MS Gothic" w:hAnsi="Calibri"/>
      <w:b/>
      <w:bCs/>
      <w:i/>
      <w:iCs/>
      <w:color w:val="4F81BD"/>
      <w:lang w:val="x-none" w:eastAsia="x-none"/>
    </w:rPr>
  </w:style>
  <w:style w:type="paragraph" w:styleId="Nadpis5">
    <w:name w:val="heading 5"/>
    <w:basedOn w:val="Normln"/>
    <w:next w:val="Normln"/>
    <w:link w:val="Nadpis5Char"/>
    <w:qFormat/>
    <w:rsid w:val="009C2D9A"/>
    <w:pPr>
      <w:keepNext/>
      <w:keepLines/>
      <w:numPr>
        <w:ilvl w:val="4"/>
        <w:numId w:val="1"/>
      </w:numPr>
      <w:spacing w:before="200"/>
      <w:outlineLvl w:val="4"/>
    </w:pPr>
    <w:rPr>
      <w:rFonts w:ascii="Calibri" w:eastAsia="MS Gothic" w:hAnsi="Calibri"/>
      <w:color w:val="243F60"/>
      <w:lang w:val="x-none" w:eastAsia="x-none"/>
    </w:rPr>
  </w:style>
  <w:style w:type="paragraph" w:styleId="Nadpis6">
    <w:name w:val="heading 6"/>
    <w:basedOn w:val="Normln"/>
    <w:next w:val="Normln"/>
    <w:link w:val="Nadpis6Char"/>
    <w:qFormat/>
    <w:rsid w:val="009C2D9A"/>
    <w:pPr>
      <w:keepNext/>
      <w:keepLines/>
      <w:numPr>
        <w:ilvl w:val="5"/>
        <w:numId w:val="1"/>
      </w:numPr>
      <w:spacing w:before="200"/>
      <w:outlineLvl w:val="5"/>
    </w:pPr>
    <w:rPr>
      <w:rFonts w:ascii="Calibri" w:eastAsia="MS Gothic" w:hAnsi="Calibri"/>
      <w:i/>
      <w:iCs/>
      <w:color w:val="243F60"/>
      <w:lang w:val="x-none" w:eastAsia="x-none"/>
    </w:rPr>
  </w:style>
  <w:style w:type="paragraph" w:styleId="Nadpis7">
    <w:name w:val="heading 7"/>
    <w:basedOn w:val="Normln"/>
    <w:next w:val="Normln"/>
    <w:link w:val="Nadpis7Char"/>
    <w:qFormat/>
    <w:rsid w:val="009C2D9A"/>
    <w:pPr>
      <w:keepNext/>
      <w:keepLines/>
      <w:numPr>
        <w:ilvl w:val="6"/>
        <w:numId w:val="1"/>
      </w:numPr>
      <w:spacing w:before="200"/>
      <w:outlineLvl w:val="6"/>
    </w:pPr>
    <w:rPr>
      <w:rFonts w:ascii="Calibri" w:eastAsia="MS Gothic" w:hAnsi="Calibri"/>
      <w:i/>
      <w:iCs/>
      <w:color w:val="404040"/>
      <w:lang w:val="x-none" w:eastAsia="x-none"/>
    </w:rPr>
  </w:style>
  <w:style w:type="paragraph" w:styleId="Nadpis8">
    <w:name w:val="heading 8"/>
    <w:basedOn w:val="Normln"/>
    <w:next w:val="Normln"/>
    <w:link w:val="Nadpis8Char"/>
    <w:qFormat/>
    <w:rsid w:val="009C2D9A"/>
    <w:pPr>
      <w:keepNext/>
      <w:keepLines/>
      <w:numPr>
        <w:ilvl w:val="7"/>
        <w:numId w:val="1"/>
      </w:numPr>
      <w:spacing w:before="200"/>
      <w:outlineLvl w:val="7"/>
    </w:pPr>
    <w:rPr>
      <w:rFonts w:ascii="Calibri" w:eastAsia="MS Gothic" w:hAnsi="Calibri"/>
      <w:color w:val="404040"/>
      <w:sz w:val="20"/>
      <w:szCs w:val="20"/>
      <w:lang w:val="x-none" w:eastAsia="x-none"/>
    </w:rPr>
  </w:style>
  <w:style w:type="paragraph" w:styleId="Nadpis9">
    <w:name w:val="heading 9"/>
    <w:basedOn w:val="Normln"/>
    <w:next w:val="Normln"/>
    <w:link w:val="Nadpis9Char"/>
    <w:qFormat/>
    <w:rsid w:val="009C2D9A"/>
    <w:pPr>
      <w:keepNext/>
      <w:keepLines/>
      <w:numPr>
        <w:ilvl w:val="8"/>
        <w:numId w:val="1"/>
      </w:numPr>
      <w:spacing w:before="200"/>
      <w:outlineLvl w:val="8"/>
    </w:pPr>
    <w:rPr>
      <w:rFonts w:ascii="Calibri" w:eastAsia="MS Gothic" w:hAnsi="Calibri"/>
      <w:i/>
      <w:iCs/>
      <w:color w:val="404040"/>
      <w:sz w:val="20"/>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arevnseznamzvraznn11">
    <w:name w:val="Barevný seznam – zvýraznění 11"/>
    <w:basedOn w:val="Normln"/>
    <w:autoRedefine/>
    <w:qFormat/>
    <w:rsid w:val="009C2D9A"/>
    <w:pPr>
      <w:numPr>
        <w:numId w:val="2"/>
      </w:numPr>
      <w:tabs>
        <w:tab w:val="left" w:pos="0"/>
        <w:tab w:val="left" w:pos="567"/>
      </w:tabs>
      <w:contextualSpacing/>
    </w:pPr>
  </w:style>
  <w:style w:type="character" w:customStyle="1" w:styleId="Nadpis1Char">
    <w:name w:val="Nadpis 1 Char"/>
    <w:link w:val="Nadpis1"/>
    <w:rsid w:val="009C2D9A"/>
    <w:rPr>
      <w:rFonts w:ascii="Arial" w:eastAsia="MS Gothic" w:hAnsi="Arial"/>
      <w:b/>
      <w:bCs/>
      <w:sz w:val="32"/>
      <w:szCs w:val="32"/>
      <w:lang w:val="x-none" w:eastAsia="x-none"/>
    </w:rPr>
  </w:style>
  <w:style w:type="character" w:customStyle="1" w:styleId="Nadpis2Char">
    <w:name w:val="Nadpis 2 Char"/>
    <w:link w:val="Nadpis2"/>
    <w:rsid w:val="000A2121"/>
    <w:rPr>
      <w:rFonts w:ascii="Arial" w:eastAsia="MS Gothic" w:hAnsi="Arial"/>
      <w:b/>
      <w:bCs/>
      <w:sz w:val="28"/>
      <w:szCs w:val="28"/>
      <w:lang w:val="x-none" w:eastAsia="x-none"/>
    </w:rPr>
  </w:style>
  <w:style w:type="character" w:customStyle="1" w:styleId="Nadpis3Char">
    <w:name w:val="Nadpis 3 Char"/>
    <w:link w:val="Nadpis3"/>
    <w:rsid w:val="009C2D9A"/>
    <w:rPr>
      <w:rFonts w:ascii="Calibri" w:eastAsia="MS Gothic" w:hAnsi="Calibri"/>
      <w:b/>
      <w:bCs/>
      <w:sz w:val="24"/>
      <w:szCs w:val="24"/>
      <w:lang w:val="x-none" w:eastAsia="x-none"/>
    </w:rPr>
  </w:style>
  <w:style w:type="character" w:customStyle="1" w:styleId="Nadpis4Char">
    <w:name w:val="Nadpis 4 Char"/>
    <w:link w:val="Nadpis4"/>
    <w:rsid w:val="009C2D9A"/>
    <w:rPr>
      <w:rFonts w:ascii="Calibri" w:eastAsia="MS Gothic" w:hAnsi="Calibri"/>
      <w:b/>
      <w:bCs/>
      <w:i/>
      <w:iCs/>
      <w:color w:val="4F81BD"/>
      <w:sz w:val="24"/>
      <w:szCs w:val="24"/>
      <w:lang w:val="x-none" w:eastAsia="x-none"/>
    </w:rPr>
  </w:style>
  <w:style w:type="character" w:customStyle="1" w:styleId="Nadpis5Char">
    <w:name w:val="Nadpis 5 Char"/>
    <w:link w:val="Nadpis5"/>
    <w:rsid w:val="009C2D9A"/>
    <w:rPr>
      <w:rFonts w:ascii="Calibri" w:eastAsia="MS Gothic" w:hAnsi="Calibri"/>
      <w:color w:val="243F60"/>
      <w:sz w:val="24"/>
      <w:szCs w:val="24"/>
      <w:lang w:val="x-none" w:eastAsia="x-none"/>
    </w:rPr>
  </w:style>
  <w:style w:type="character" w:customStyle="1" w:styleId="Nadpis6Char">
    <w:name w:val="Nadpis 6 Char"/>
    <w:link w:val="Nadpis6"/>
    <w:rsid w:val="009C2D9A"/>
    <w:rPr>
      <w:rFonts w:ascii="Calibri" w:eastAsia="MS Gothic" w:hAnsi="Calibri"/>
      <w:i/>
      <w:iCs/>
      <w:color w:val="243F60"/>
      <w:sz w:val="24"/>
      <w:szCs w:val="24"/>
      <w:lang w:val="x-none" w:eastAsia="x-none"/>
    </w:rPr>
  </w:style>
  <w:style w:type="character" w:customStyle="1" w:styleId="Nadpis7Char">
    <w:name w:val="Nadpis 7 Char"/>
    <w:link w:val="Nadpis7"/>
    <w:rsid w:val="009C2D9A"/>
    <w:rPr>
      <w:rFonts w:ascii="Calibri" w:eastAsia="MS Gothic" w:hAnsi="Calibri"/>
      <w:i/>
      <w:iCs/>
      <w:color w:val="404040"/>
      <w:sz w:val="24"/>
      <w:szCs w:val="24"/>
      <w:lang w:val="x-none" w:eastAsia="x-none"/>
    </w:rPr>
  </w:style>
  <w:style w:type="character" w:customStyle="1" w:styleId="Nadpis8Char">
    <w:name w:val="Nadpis 8 Char"/>
    <w:link w:val="Nadpis8"/>
    <w:rsid w:val="009C2D9A"/>
    <w:rPr>
      <w:rFonts w:ascii="Calibri" w:eastAsia="MS Gothic" w:hAnsi="Calibri"/>
      <w:color w:val="404040"/>
      <w:lang w:val="x-none" w:eastAsia="x-none"/>
    </w:rPr>
  </w:style>
  <w:style w:type="character" w:customStyle="1" w:styleId="Nadpis9Char">
    <w:name w:val="Nadpis 9 Char"/>
    <w:link w:val="Nadpis9"/>
    <w:rsid w:val="009C2D9A"/>
    <w:rPr>
      <w:rFonts w:ascii="Calibri" w:eastAsia="MS Gothic" w:hAnsi="Calibri"/>
      <w:i/>
      <w:iCs/>
      <w:color w:val="404040"/>
      <w:lang w:val="x-none" w:eastAsia="x-none"/>
    </w:rPr>
  </w:style>
  <w:style w:type="paragraph" w:styleId="Zkladntextodsazen">
    <w:name w:val="Body Text Indent"/>
    <w:basedOn w:val="Normln"/>
    <w:link w:val="ZkladntextodsazenChar"/>
    <w:rsid w:val="009C2D9A"/>
    <w:pPr>
      <w:spacing w:line="240" w:lineRule="auto"/>
      <w:ind w:left="993"/>
      <w:jc w:val="left"/>
    </w:pPr>
    <w:rPr>
      <w:rFonts w:ascii="Courier New" w:eastAsia="Times New Roman" w:hAnsi="Courier New"/>
      <w:sz w:val="20"/>
      <w:szCs w:val="20"/>
      <w:lang w:eastAsia="cs-CZ"/>
    </w:rPr>
  </w:style>
  <w:style w:type="character" w:customStyle="1" w:styleId="ZkladntextodsazenChar">
    <w:name w:val="Základní text odsazený Char"/>
    <w:link w:val="Zkladntextodsazen"/>
    <w:rsid w:val="009C2D9A"/>
    <w:rPr>
      <w:rFonts w:ascii="Courier New" w:hAnsi="Courier New"/>
      <w:lang w:val="cs-CZ" w:eastAsia="cs-CZ" w:bidi="ar-SA"/>
    </w:rPr>
  </w:style>
  <w:style w:type="character" w:styleId="slostrnky">
    <w:name w:val="page number"/>
    <w:rsid w:val="009C2D9A"/>
    <w:rPr>
      <w:rFonts w:ascii="Times New Roman" w:hAnsi="Times New Roman" w:cs="Times New Roman"/>
      <w:sz w:val="24"/>
    </w:rPr>
  </w:style>
  <w:style w:type="character" w:customStyle="1" w:styleId="TrailerWGM">
    <w:name w:val="Trailer WGM"/>
    <w:rsid w:val="009C2D9A"/>
    <w:rPr>
      <w:caps/>
      <w:sz w:val="14"/>
    </w:rPr>
  </w:style>
  <w:style w:type="paragraph" w:styleId="Zhlav">
    <w:name w:val="header"/>
    <w:basedOn w:val="Normln"/>
    <w:link w:val="ZhlavChar"/>
    <w:uiPriority w:val="99"/>
    <w:rsid w:val="009C2D9A"/>
    <w:pPr>
      <w:tabs>
        <w:tab w:val="center" w:pos="4703"/>
        <w:tab w:val="right" w:pos="9406"/>
      </w:tabs>
    </w:pPr>
  </w:style>
  <w:style w:type="paragraph" w:styleId="Zpat">
    <w:name w:val="footer"/>
    <w:basedOn w:val="Normln"/>
    <w:rsid w:val="009C2D9A"/>
    <w:pPr>
      <w:tabs>
        <w:tab w:val="center" w:pos="4703"/>
        <w:tab w:val="right" w:pos="9406"/>
      </w:tabs>
    </w:pPr>
  </w:style>
  <w:style w:type="paragraph" w:styleId="Obsah1">
    <w:name w:val="toc 1"/>
    <w:basedOn w:val="Normln"/>
    <w:next w:val="Normln"/>
    <w:autoRedefine/>
    <w:rsid w:val="00B87740"/>
    <w:pPr>
      <w:spacing w:after="0"/>
      <w:jc w:val="left"/>
    </w:pPr>
    <w:rPr>
      <w:rFonts w:cs="Arial"/>
      <w:noProof/>
    </w:rPr>
  </w:style>
  <w:style w:type="paragraph" w:styleId="Obsah2">
    <w:name w:val="toc 2"/>
    <w:basedOn w:val="Normln"/>
    <w:next w:val="Normln"/>
    <w:autoRedefine/>
    <w:rsid w:val="009C2D9A"/>
    <w:pPr>
      <w:spacing w:before="0" w:after="0"/>
      <w:ind w:left="240"/>
      <w:jc w:val="left"/>
    </w:pPr>
    <w:rPr>
      <w:rFonts w:ascii="Cambria" w:hAnsi="Cambria"/>
      <w:b/>
      <w:sz w:val="22"/>
      <w:szCs w:val="22"/>
    </w:rPr>
  </w:style>
  <w:style w:type="paragraph" w:styleId="Obsah3">
    <w:name w:val="toc 3"/>
    <w:basedOn w:val="Normln"/>
    <w:next w:val="Normln"/>
    <w:autoRedefine/>
    <w:rsid w:val="009C2D9A"/>
    <w:pPr>
      <w:spacing w:before="0" w:after="0"/>
      <w:ind w:left="480"/>
      <w:jc w:val="left"/>
    </w:pPr>
    <w:rPr>
      <w:rFonts w:ascii="Cambria" w:hAnsi="Cambria"/>
      <w:sz w:val="22"/>
      <w:szCs w:val="22"/>
    </w:rPr>
  </w:style>
  <w:style w:type="character" w:styleId="Hypertextovodkaz">
    <w:name w:val="Hyperlink"/>
    <w:rsid w:val="009C2D9A"/>
    <w:rPr>
      <w:color w:val="0000FF"/>
      <w:u w:val="single"/>
    </w:rPr>
  </w:style>
  <w:style w:type="paragraph" w:styleId="Rozloendokumentu">
    <w:name w:val="Document Map"/>
    <w:basedOn w:val="Normln"/>
    <w:semiHidden/>
    <w:rsid w:val="009C2D9A"/>
    <w:pPr>
      <w:shd w:val="clear" w:color="auto" w:fill="000080"/>
    </w:pPr>
    <w:rPr>
      <w:rFonts w:ascii="Tahoma" w:hAnsi="Tahoma" w:cs="Tahoma"/>
      <w:sz w:val="20"/>
      <w:szCs w:val="20"/>
    </w:rPr>
  </w:style>
  <w:style w:type="paragraph" w:styleId="Normlnweb">
    <w:name w:val="Normal (Web)"/>
    <w:basedOn w:val="Normln"/>
    <w:rsid w:val="009C2D9A"/>
    <w:pPr>
      <w:spacing w:before="100" w:beforeAutospacing="1" w:after="100" w:afterAutospacing="1" w:line="240" w:lineRule="auto"/>
      <w:jc w:val="left"/>
    </w:pPr>
    <w:rPr>
      <w:rFonts w:eastAsia="Times New Roman"/>
      <w:lang w:eastAsia="cs-CZ"/>
    </w:rPr>
  </w:style>
  <w:style w:type="character" w:customStyle="1" w:styleId="googqs-tidbitgoogqs-tidbit-0">
    <w:name w:val="goog_qs-tidbit goog_qs-tidbit-0"/>
    <w:basedOn w:val="Standardnpsmoodstavce"/>
    <w:rsid w:val="009C2D9A"/>
  </w:style>
  <w:style w:type="character" w:styleId="Siln">
    <w:name w:val="Strong"/>
    <w:qFormat/>
    <w:rsid w:val="009C2D9A"/>
    <w:rPr>
      <w:rFonts w:ascii="Times New Roman" w:hAnsi="Times New Roman"/>
      <w:b w:val="0"/>
      <w:bCs/>
      <w:i w:val="0"/>
      <w:iCs w:val="0"/>
      <w:caps/>
      <w:smallCaps w:val="0"/>
      <w:sz w:val="32"/>
      <w:szCs w:val="32"/>
    </w:rPr>
  </w:style>
  <w:style w:type="paragraph" w:customStyle="1" w:styleId="noteitalic">
    <w:name w:val="note italic"/>
    <w:basedOn w:val="Normln"/>
    <w:rsid w:val="009C2D9A"/>
    <w:pPr>
      <w:spacing w:before="100" w:beforeAutospacing="1" w:after="100" w:afterAutospacing="1" w:line="240" w:lineRule="auto"/>
      <w:jc w:val="left"/>
    </w:pPr>
    <w:rPr>
      <w:rFonts w:eastAsia="Times New Roman"/>
      <w:lang w:eastAsia="cs-CZ"/>
    </w:rPr>
  </w:style>
  <w:style w:type="paragraph" w:styleId="Obsah4">
    <w:name w:val="toc 4"/>
    <w:basedOn w:val="Normln"/>
    <w:next w:val="Normln"/>
    <w:autoRedefine/>
    <w:unhideWhenUsed/>
    <w:rsid w:val="009C2D9A"/>
    <w:pPr>
      <w:spacing w:before="0" w:after="0"/>
      <w:ind w:left="720"/>
      <w:jc w:val="left"/>
    </w:pPr>
    <w:rPr>
      <w:rFonts w:ascii="Cambria" w:hAnsi="Cambria"/>
      <w:sz w:val="20"/>
      <w:szCs w:val="20"/>
    </w:rPr>
  </w:style>
  <w:style w:type="paragraph" w:styleId="Obsah5">
    <w:name w:val="toc 5"/>
    <w:basedOn w:val="Normln"/>
    <w:next w:val="Normln"/>
    <w:autoRedefine/>
    <w:unhideWhenUsed/>
    <w:rsid w:val="009C2D9A"/>
    <w:pPr>
      <w:spacing w:before="0" w:after="0"/>
      <w:ind w:left="960"/>
      <w:jc w:val="left"/>
    </w:pPr>
    <w:rPr>
      <w:rFonts w:ascii="Cambria" w:hAnsi="Cambria"/>
      <w:sz w:val="20"/>
      <w:szCs w:val="20"/>
    </w:rPr>
  </w:style>
  <w:style w:type="paragraph" w:styleId="Obsah6">
    <w:name w:val="toc 6"/>
    <w:basedOn w:val="Normln"/>
    <w:next w:val="Normln"/>
    <w:autoRedefine/>
    <w:unhideWhenUsed/>
    <w:rsid w:val="009C2D9A"/>
    <w:pPr>
      <w:spacing w:before="0" w:after="0"/>
      <w:ind w:left="1200"/>
      <w:jc w:val="left"/>
    </w:pPr>
    <w:rPr>
      <w:rFonts w:ascii="Cambria" w:hAnsi="Cambria"/>
      <w:sz w:val="20"/>
      <w:szCs w:val="20"/>
    </w:rPr>
  </w:style>
  <w:style w:type="paragraph" w:styleId="Obsah7">
    <w:name w:val="toc 7"/>
    <w:basedOn w:val="Normln"/>
    <w:next w:val="Normln"/>
    <w:autoRedefine/>
    <w:unhideWhenUsed/>
    <w:rsid w:val="009C2D9A"/>
    <w:pPr>
      <w:spacing w:before="0" w:after="0"/>
      <w:ind w:left="1440"/>
      <w:jc w:val="left"/>
    </w:pPr>
    <w:rPr>
      <w:rFonts w:ascii="Cambria" w:hAnsi="Cambria"/>
      <w:sz w:val="20"/>
      <w:szCs w:val="20"/>
    </w:rPr>
  </w:style>
  <w:style w:type="paragraph" w:styleId="Obsah8">
    <w:name w:val="toc 8"/>
    <w:basedOn w:val="Normln"/>
    <w:next w:val="Normln"/>
    <w:autoRedefine/>
    <w:unhideWhenUsed/>
    <w:rsid w:val="009C2D9A"/>
    <w:pPr>
      <w:spacing w:before="0" w:after="0"/>
      <w:ind w:left="1680"/>
      <w:jc w:val="left"/>
    </w:pPr>
    <w:rPr>
      <w:rFonts w:ascii="Cambria" w:hAnsi="Cambria"/>
      <w:sz w:val="20"/>
      <w:szCs w:val="20"/>
    </w:rPr>
  </w:style>
  <w:style w:type="paragraph" w:styleId="Obsah9">
    <w:name w:val="toc 9"/>
    <w:basedOn w:val="Normln"/>
    <w:next w:val="Normln"/>
    <w:autoRedefine/>
    <w:unhideWhenUsed/>
    <w:rsid w:val="009C2D9A"/>
    <w:pPr>
      <w:spacing w:before="0" w:after="0"/>
      <w:ind w:left="1920"/>
      <w:jc w:val="left"/>
    </w:pPr>
    <w:rPr>
      <w:rFonts w:ascii="Cambria" w:hAnsi="Cambria"/>
      <w:sz w:val="20"/>
      <w:szCs w:val="20"/>
    </w:rPr>
  </w:style>
  <w:style w:type="paragraph" w:styleId="Textpoznpodarou">
    <w:name w:val="footnote text"/>
    <w:basedOn w:val="Normln"/>
    <w:link w:val="TextpoznpodarouChar"/>
    <w:unhideWhenUsed/>
    <w:rsid w:val="009C2D9A"/>
    <w:rPr>
      <w:sz w:val="16"/>
      <w:lang w:eastAsia="x-none"/>
    </w:rPr>
  </w:style>
  <w:style w:type="character" w:customStyle="1" w:styleId="TextpoznpodarouChar">
    <w:name w:val="Text pozn. pod čarou Char"/>
    <w:link w:val="Textpoznpodarou"/>
    <w:rsid w:val="009C2D9A"/>
    <w:rPr>
      <w:rFonts w:ascii="Arial" w:eastAsia="MS Mincho" w:hAnsi="Arial"/>
      <w:sz w:val="16"/>
      <w:szCs w:val="24"/>
      <w:lang w:val="cs-CZ" w:eastAsia="x-none" w:bidi="ar-SA"/>
    </w:rPr>
  </w:style>
  <w:style w:type="character" w:styleId="Znakapoznpodarou">
    <w:name w:val="footnote reference"/>
    <w:uiPriority w:val="99"/>
    <w:unhideWhenUsed/>
    <w:rsid w:val="009C2D9A"/>
    <w:rPr>
      <w:vertAlign w:val="superscript"/>
    </w:rPr>
  </w:style>
  <w:style w:type="paragraph" w:styleId="Titulek">
    <w:name w:val="caption"/>
    <w:basedOn w:val="Normln"/>
    <w:next w:val="Normln"/>
    <w:qFormat/>
    <w:rsid w:val="009C2D9A"/>
    <w:pPr>
      <w:jc w:val="center"/>
    </w:pPr>
    <w:rPr>
      <w:rFonts w:ascii="Times New Roman Bold" w:hAnsi="Times New Roman Bold"/>
      <w:b/>
      <w:bCs/>
      <w:caps/>
      <w:sz w:val="32"/>
      <w:szCs w:val="32"/>
    </w:rPr>
  </w:style>
  <w:style w:type="paragraph" w:customStyle="1" w:styleId="Nadpisobsahu1">
    <w:name w:val="Nadpis obsahu1"/>
    <w:basedOn w:val="Nadpis1"/>
    <w:next w:val="Normln"/>
    <w:qFormat/>
    <w:rsid w:val="009C2D9A"/>
    <w:pPr>
      <w:numPr>
        <w:numId w:val="0"/>
      </w:numPr>
      <w:spacing w:line="276" w:lineRule="auto"/>
      <w:jc w:val="left"/>
      <w:outlineLvl w:val="9"/>
    </w:pPr>
    <w:rPr>
      <w:sz w:val="24"/>
      <w:szCs w:val="20"/>
      <w:u w:val="single"/>
      <w:lang w:val="en-US"/>
    </w:rPr>
  </w:style>
  <w:style w:type="paragraph" w:styleId="Nzev">
    <w:name w:val="Title"/>
    <w:basedOn w:val="Normln"/>
    <w:next w:val="Normln"/>
    <w:link w:val="NzevChar"/>
    <w:qFormat/>
    <w:rsid w:val="009C2D9A"/>
    <w:pPr>
      <w:spacing w:before="240" w:after="60"/>
      <w:jc w:val="center"/>
      <w:outlineLvl w:val="0"/>
    </w:pPr>
    <w:rPr>
      <w:rFonts w:ascii="Calibri" w:eastAsia="MS Gothic" w:hAnsi="Calibri"/>
      <w:b/>
      <w:bCs/>
      <w:kern w:val="28"/>
      <w:sz w:val="32"/>
      <w:szCs w:val="32"/>
      <w:lang w:eastAsia="x-none"/>
    </w:rPr>
  </w:style>
  <w:style w:type="character" w:customStyle="1" w:styleId="NzevChar">
    <w:name w:val="Název Char"/>
    <w:link w:val="Nzev"/>
    <w:rsid w:val="009C2D9A"/>
    <w:rPr>
      <w:rFonts w:ascii="Calibri" w:eastAsia="MS Gothic" w:hAnsi="Calibri"/>
      <w:b/>
      <w:bCs/>
      <w:kern w:val="28"/>
      <w:sz w:val="32"/>
      <w:szCs w:val="32"/>
      <w:lang w:val="cs-CZ" w:eastAsia="x-none" w:bidi="ar-SA"/>
    </w:rPr>
  </w:style>
  <w:style w:type="character" w:styleId="slodku">
    <w:name w:val="line number"/>
    <w:semiHidden/>
    <w:unhideWhenUsed/>
    <w:rsid w:val="009C2D9A"/>
  </w:style>
  <w:style w:type="character" w:customStyle="1" w:styleId="quote22">
    <w:name w:val="quote22"/>
    <w:rsid w:val="009C2D9A"/>
  </w:style>
  <w:style w:type="paragraph" w:customStyle="1" w:styleId="null">
    <w:name w:val="null"/>
    <w:basedOn w:val="Normln"/>
    <w:rsid w:val="009C2D9A"/>
    <w:pPr>
      <w:spacing w:before="100" w:beforeAutospacing="1" w:after="100" w:afterAutospacing="1" w:line="240" w:lineRule="auto"/>
      <w:jc w:val="left"/>
    </w:pPr>
    <w:rPr>
      <w:rFonts w:eastAsia="Times New Roman"/>
      <w:lang w:eastAsia="cs-CZ"/>
    </w:rPr>
  </w:style>
  <w:style w:type="character" w:styleId="Zvraznn">
    <w:name w:val="Emphasis"/>
    <w:qFormat/>
    <w:rsid w:val="009C2D9A"/>
    <w:rPr>
      <w:i/>
      <w:iCs/>
    </w:rPr>
  </w:style>
  <w:style w:type="table" w:styleId="Mkatabulky">
    <w:name w:val="Table Grid"/>
    <w:basedOn w:val="Normlntabulka"/>
    <w:uiPriority w:val="59"/>
    <w:rsid w:val="009C2D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dpis1"/>
    <w:next w:val="Normln"/>
    <w:qFormat/>
    <w:rsid w:val="009C2D9A"/>
    <w:pPr>
      <w:numPr>
        <w:numId w:val="0"/>
      </w:numPr>
    </w:pPr>
  </w:style>
  <w:style w:type="paragraph" w:customStyle="1" w:styleId="odrkyodsazen2">
    <w:name w:val="odrážky_odsazené2"/>
    <w:basedOn w:val="Normln"/>
    <w:rsid w:val="009C2D9A"/>
    <w:pPr>
      <w:numPr>
        <w:numId w:val="4"/>
      </w:numPr>
    </w:pPr>
    <w:rPr>
      <w:rFonts w:eastAsia="Times New Roman"/>
      <w:szCs w:val="20"/>
    </w:rPr>
  </w:style>
  <w:style w:type="paragraph" w:customStyle="1" w:styleId="StylNadpis1Tmaverven">
    <w:name w:val="Styl Nadpis 1 + Tmavě červená"/>
    <w:basedOn w:val="Nadpis1"/>
    <w:rsid w:val="009C2D9A"/>
    <w:pPr>
      <w:keepLines w:val="0"/>
      <w:numPr>
        <w:numId w:val="0"/>
      </w:numPr>
      <w:tabs>
        <w:tab w:val="num" w:pos="567"/>
      </w:tabs>
      <w:spacing w:after="360" w:line="240" w:lineRule="auto"/>
      <w:ind w:left="567" w:hanging="567"/>
      <w:jc w:val="both"/>
    </w:pPr>
    <w:rPr>
      <w:rFonts w:eastAsia="Times New Roman"/>
      <w:color w:val="800000"/>
      <w:kern w:val="28"/>
      <w:sz w:val="28"/>
      <w:szCs w:val="28"/>
      <w:lang w:eastAsia="cs-CZ"/>
    </w:rPr>
  </w:style>
  <w:style w:type="paragraph" w:customStyle="1" w:styleId="Styl2">
    <w:name w:val="Styl2"/>
    <w:basedOn w:val="Normln"/>
    <w:rsid w:val="009C2D9A"/>
    <w:pPr>
      <w:keepNext/>
      <w:numPr>
        <w:ilvl w:val="1"/>
        <w:numId w:val="3"/>
      </w:numPr>
      <w:spacing w:before="480"/>
      <w:outlineLvl w:val="1"/>
    </w:pPr>
    <w:rPr>
      <w:rFonts w:eastAsia="Times New Roman" w:cs="Arial"/>
      <w:b/>
      <w:bCs/>
      <w:color w:val="008000"/>
      <w:lang w:eastAsia="cs-CZ"/>
    </w:rPr>
  </w:style>
  <w:style w:type="paragraph" w:customStyle="1" w:styleId="StylStylNadpis212bArialZelen">
    <w:name w:val="Styl Styl Nadpis 2 + 12 b. + Arial Zelená"/>
    <w:basedOn w:val="Normln"/>
    <w:rsid w:val="009C2D9A"/>
    <w:pPr>
      <w:keepNext/>
      <w:tabs>
        <w:tab w:val="num" w:pos="0"/>
      </w:tabs>
      <w:spacing w:before="480"/>
      <w:outlineLvl w:val="1"/>
    </w:pPr>
    <w:rPr>
      <w:rFonts w:eastAsia="Times New Roman"/>
      <w:b/>
      <w:bCs/>
      <w:color w:val="008000"/>
      <w:lang w:eastAsia="cs-CZ"/>
    </w:rPr>
  </w:style>
  <w:style w:type="paragraph" w:customStyle="1" w:styleId="Odstavecseseznamem1">
    <w:name w:val="Odstavec se seznamem1"/>
    <w:basedOn w:val="Normln"/>
    <w:qFormat/>
    <w:rsid w:val="009C2D9A"/>
    <w:pPr>
      <w:spacing w:after="200" w:line="276" w:lineRule="auto"/>
      <w:ind w:left="720"/>
      <w:contextualSpacing/>
      <w:jc w:val="left"/>
    </w:pPr>
    <w:rPr>
      <w:rFonts w:ascii="Calibri" w:eastAsia="Calibri" w:hAnsi="Calibri"/>
      <w:sz w:val="22"/>
      <w:szCs w:val="22"/>
    </w:rPr>
  </w:style>
  <w:style w:type="character" w:customStyle="1" w:styleId="Zdraznnjemn1">
    <w:name w:val="Zdůraznění – jemné1"/>
    <w:qFormat/>
    <w:rsid w:val="009C2D9A"/>
    <w:rPr>
      <w:i/>
      <w:iCs/>
      <w:color w:val="808080"/>
    </w:rPr>
  </w:style>
  <w:style w:type="character" w:customStyle="1" w:styleId="Zdraznnintenzivn1">
    <w:name w:val="Zdůraznění – intenzivní1"/>
    <w:qFormat/>
    <w:rsid w:val="009C2D9A"/>
    <w:rPr>
      <w:b/>
      <w:bCs/>
      <w:i/>
      <w:iCs/>
      <w:color w:val="4F81BD"/>
    </w:rPr>
  </w:style>
  <w:style w:type="paragraph" w:customStyle="1" w:styleId="Barevnmkazvraznn11">
    <w:name w:val="Barevná mřížka – zvýraznění 11"/>
    <w:basedOn w:val="Normln"/>
    <w:next w:val="Normln"/>
    <w:link w:val="Barevnmkazvraznn1Char"/>
    <w:qFormat/>
    <w:rsid w:val="009C2D9A"/>
    <w:rPr>
      <w:i/>
      <w:iCs/>
      <w:color w:val="000000"/>
      <w:lang w:eastAsia="x-none"/>
    </w:rPr>
  </w:style>
  <w:style w:type="character" w:customStyle="1" w:styleId="Barevnmkazvraznn1Char">
    <w:name w:val="Barevná mřížka – zvýraznění 1 Char"/>
    <w:link w:val="Barevnmkazvraznn11"/>
    <w:rsid w:val="009C2D9A"/>
    <w:rPr>
      <w:rFonts w:ascii="Arial" w:eastAsia="MS Mincho" w:hAnsi="Arial"/>
      <w:i/>
      <w:iCs/>
      <w:color w:val="000000"/>
      <w:sz w:val="24"/>
      <w:szCs w:val="24"/>
      <w:lang w:val="cs-CZ" w:eastAsia="x-none" w:bidi="ar-SA"/>
    </w:rPr>
  </w:style>
  <w:style w:type="character" w:customStyle="1" w:styleId="Odkazintenzivn1">
    <w:name w:val="Odkaz – intenzivní1"/>
    <w:qFormat/>
    <w:rsid w:val="009C2D9A"/>
    <w:rPr>
      <w:b/>
      <w:bCs/>
      <w:smallCaps/>
      <w:color w:val="C0504D"/>
      <w:spacing w:val="5"/>
      <w:u w:val="single"/>
    </w:rPr>
  </w:style>
  <w:style w:type="paragraph" w:styleId="Podtitul">
    <w:name w:val="Subtitle"/>
    <w:basedOn w:val="Normln"/>
    <w:next w:val="Normln"/>
    <w:link w:val="PodtitulChar"/>
    <w:qFormat/>
    <w:rsid w:val="009C2D9A"/>
    <w:pPr>
      <w:spacing w:after="60"/>
      <w:jc w:val="center"/>
      <w:outlineLvl w:val="1"/>
    </w:pPr>
    <w:rPr>
      <w:rFonts w:ascii="Calibri" w:eastAsia="MS Gothic" w:hAnsi="Calibri"/>
      <w:lang w:eastAsia="x-none"/>
    </w:rPr>
  </w:style>
  <w:style w:type="character" w:customStyle="1" w:styleId="PodtitulChar">
    <w:name w:val="Podtitul Char"/>
    <w:link w:val="Podtitul"/>
    <w:rsid w:val="009C2D9A"/>
    <w:rPr>
      <w:rFonts w:ascii="Calibri" w:eastAsia="MS Gothic" w:hAnsi="Calibri"/>
      <w:sz w:val="24"/>
      <w:szCs w:val="24"/>
      <w:lang w:val="cs-CZ" w:eastAsia="x-none" w:bidi="ar-SA"/>
    </w:rPr>
  </w:style>
  <w:style w:type="character" w:customStyle="1" w:styleId="Odkazjemn1">
    <w:name w:val="Odkaz – jemný1"/>
    <w:qFormat/>
    <w:rsid w:val="009C2D9A"/>
    <w:rPr>
      <w:smallCaps/>
      <w:color w:val="C0504D"/>
      <w:u w:val="single"/>
    </w:rPr>
  </w:style>
  <w:style w:type="table" w:customStyle="1" w:styleId="Svtlstnovn1">
    <w:name w:val="Světlé stínování1"/>
    <w:basedOn w:val="Normlntabulka"/>
    <w:rsid w:val="009C2D9A"/>
    <w:rPr>
      <w:rFonts w:ascii="Cambria" w:eastAsia="MS Mincho" w:hAnsi="Cambri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Odkaznakoment">
    <w:name w:val="annotation reference"/>
    <w:semiHidden/>
    <w:unhideWhenUsed/>
    <w:rsid w:val="009C2D9A"/>
    <w:rPr>
      <w:sz w:val="16"/>
      <w:szCs w:val="16"/>
    </w:rPr>
  </w:style>
  <w:style w:type="paragraph" w:styleId="Textkomente">
    <w:name w:val="annotation text"/>
    <w:basedOn w:val="Normln"/>
    <w:link w:val="TextkomenteChar"/>
    <w:semiHidden/>
    <w:unhideWhenUsed/>
    <w:rsid w:val="009C2D9A"/>
    <w:rPr>
      <w:sz w:val="20"/>
      <w:szCs w:val="20"/>
    </w:rPr>
  </w:style>
  <w:style w:type="character" w:customStyle="1" w:styleId="TextkomenteChar">
    <w:name w:val="Text komentáře Char"/>
    <w:link w:val="Textkomente"/>
    <w:semiHidden/>
    <w:rsid w:val="009C2D9A"/>
    <w:rPr>
      <w:rFonts w:ascii="Arial" w:eastAsia="MS Mincho" w:hAnsi="Arial"/>
      <w:lang w:val="cs-CZ" w:eastAsia="en-US" w:bidi="ar-SA"/>
    </w:rPr>
  </w:style>
  <w:style w:type="paragraph" w:styleId="Pedmtkomente">
    <w:name w:val="annotation subject"/>
    <w:basedOn w:val="Textkomente"/>
    <w:next w:val="Textkomente"/>
    <w:link w:val="PedmtkomenteChar"/>
    <w:semiHidden/>
    <w:unhideWhenUsed/>
    <w:rsid w:val="009C2D9A"/>
    <w:rPr>
      <w:b/>
      <w:bCs/>
    </w:rPr>
  </w:style>
  <w:style w:type="character" w:customStyle="1" w:styleId="PedmtkomenteChar">
    <w:name w:val="Předmět komentáře Char"/>
    <w:link w:val="Pedmtkomente"/>
    <w:semiHidden/>
    <w:rsid w:val="009C2D9A"/>
    <w:rPr>
      <w:rFonts w:ascii="Arial" w:eastAsia="MS Mincho" w:hAnsi="Arial"/>
      <w:b/>
      <w:bCs/>
      <w:lang w:val="cs-CZ" w:eastAsia="en-US" w:bidi="ar-SA"/>
    </w:rPr>
  </w:style>
  <w:style w:type="paragraph" w:styleId="Textbubliny">
    <w:name w:val="Balloon Text"/>
    <w:basedOn w:val="Normln"/>
    <w:link w:val="TextbublinyChar"/>
    <w:semiHidden/>
    <w:unhideWhenUsed/>
    <w:rsid w:val="009C2D9A"/>
    <w:pPr>
      <w:spacing w:before="0" w:after="0" w:line="240" w:lineRule="auto"/>
    </w:pPr>
    <w:rPr>
      <w:rFonts w:ascii="Tahoma" w:hAnsi="Tahoma" w:cs="Tahoma"/>
      <w:sz w:val="16"/>
      <w:szCs w:val="16"/>
    </w:rPr>
  </w:style>
  <w:style w:type="character" w:customStyle="1" w:styleId="TextbublinyChar">
    <w:name w:val="Text bubliny Char"/>
    <w:link w:val="Textbubliny"/>
    <w:semiHidden/>
    <w:rsid w:val="009C2D9A"/>
    <w:rPr>
      <w:rFonts w:ascii="Tahoma" w:eastAsia="MS Mincho" w:hAnsi="Tahoma" w:cs="Tahoma"/>
      <w:sz w:val="16"/>
      <w:szCs w:val="16"/>
      <w:lang w:val="cs-CZ" w:eastAsia="en-US" w:bidi="ar-SA"/>
    </w:rPr>
  </w:style>
  <w:style w:type="paragraph" w:styleId="Odstavecseseznamem">
    <w:name w:val="List Paragraph"/>
    <w:basedOn w:val="Normln"/>
    <w:uiPriority w:val="34"/>
    <w:qFormat/>
    <w:rsid w:val="009C2D9A"/>
    <w:pPr>
      <w:spacing w:before="0" w:after="200" w:line="276" w:lineRule="auto"/>
      <w:ind w:left="720"/>
      <w:contextualSpacing/>
      <w:jc w:val="left"/>
    </w:pPr>
    <w:rPr>
      <w:rFonts w:ascii="Calibri" w:eastAsia="Calibri" w:hAnsi="Calibri"/>
      <w:sz w:val="22"/>
      <w:szCs w:val="22"/>
    </w:rPr>
  </w:style>
  <w:style w:type="paragraph" w:customStyle="1" w:styleId="Revize1">
    <w:name w:val="Revize1"/>
    <w:hidden/>
    <w:semiHidden/>
    <w:rsid w:val="009C2D9A"/>
    <w:rPr>
      <w:rFonts w:ascii="Arial" w:eastAsia="MS Mincho" w:hAnsi="Arial"/>
      <w:sz w:val="24"/>
      <w:szCs w:val="24"/>
      <w:lang w:eastAsia="en-US"/>
    </w:rPr>
  </w:style>
  <w:style w:type="paragraph" w:styleId="Revize">
    <w:name w:val="Revision"/>
    <w:hidden/>
    <w:uiPriority w:val="99"/>
    <w:semiHidden/>
    <w:rsid w:val="00DE6CF0"/>
    <w:rPr>
      <w:rFonts w:ascii="Arial" w:eastAsia="MS Mincho" w:hAnsi="Arial"/>
      <w:sz w:val="24"/>
      <w:szCs w:val="24"/>
      <w:lang w:eastAsia="en-US"/>
    </w:rPr>
  </w:style>
  <w:style w:type="paragraph" w:styleId="Textvysvtlivek">
    <w:name w:val="endnote text"/>
    <w:basedOn w:val="Normln"/>
    <w:link w:val="TextvysvtlivekChar"/>
    <w:uiPriority w:val="99"/>
    <w:semiHidden/>
    <w:unhideWhenUsed/>
    <w:rsid w:val="0073531E"/>
    <w:rPr>
      <w:sz w:val="20"/>
      <w:szCs w:val="20"/>
    </w:rPr>
  </w:style>
  <w:style w:type="character" w:customStyle="1" w:styleId="TextvysvtlivekChar">
    <w:name w:val="Text vysvětlivek Char"/>
    <w:link w:val="Textvysvtlivek"/>
    <w:uiPriority w:val="99"/>
    <w:semiHidden/>
    <w:rsid w:val="0073531E"/>
    <w:rPr>
      <w:rFonts w:ascii="Arial" w:eastAsia="MS Mincho" w:hAnsi="Arial"/>
      <w:lang w:eastAsia="en-US"/>
    </w:rPr>
  </w:style>
  <w:style w:type="character" w:styleId="Odkaznavysvtlivky">
    <w:name w:val="endnote reference"/>
    <w:uiPriority w:val="99"/>
    <w:semiHidden/>
    <w:unhideWhenUsed/>
    <w:rsid w:val="0073531E"/>
    <w:rPr>
      <w:vertAlign w:val="superscript"/>
    </w:rPr>
  </w:style>
  <w:style w:type="paragraph" w:styleId="Bezmezer">
    <w:name w:val="No Spacing"/>
    <w:link w:val="BezmezerChar"/>
    <w:uiPriority w:val="1"/>
    <w:qFormat/>
    <w:rsid w:val="00AA14D9"/>
    <w:rPr>
      <w:rFonts w:ascii="Calibri" w:hAnsi="Calibri"/>
      <w:sz w:val="22"/>
      <w:szCs w:val="22"/>
    </w:rPr>
  </w:style>
  <w:style w:type="character" w:customStyle="1" w:styleId="BezmezerChar">
    <w:name w:val="Bez mezer Char"/>
    <w:link w:val="Bezmezer"/>
    <w:uiPriority w:val="1"/>
    <w:rsid w:val="00AA14D9"/>
    <w:rPr>
      <w:rFonts w:ascii="Calibri" w:hAnsi="Calibri"/>
      <w:sz w:val="22"/>
      <w:szCs w:val="22"/>
    </w:rPr>
  </w:style>
  <w:style w:type="paragraph" w:customStyle="1" w:styleId="Default">
    <w:name w:val="Default"/>
    <w:rsid w:val="00AC6E55"/>
    <w:pPr>
      <w:autoSpaceDE w:val="0"/>
      <w:autoSpaceDN w:val="0"/>
      <w:adjustRightInd w:val="0"/>
    </w:pPr>
    <w:rPr>
      <w:color w:val="000000"/>
      <w:sz w:val="24"/>
      <w:szCs w:val="24"/>
    </w:rPr>
  </w:style>
  <w:style w:type="character" w:customStyle="1" w:styleId="ZhlavChar">
    <w:name w:val="Záhlaví Char"/>
    <w:link w:val="Zhlav"/>
    <w:uiPriority w:val="99"/>
    <w:rsid w:val="00233137"/>
    <w:rPr>
      <w:rFonts w:ascii="Arial" w:eastAsia="MS Mincho" w:hAnsi="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2D9A"/>
    <w:pPr>
      <w:spacing w:before="120" w:after="120" w:line="264" w:lineRule="auto"/>
      <w:jc w:val="both"/>
    </w:pPr>
    <w:rPr>
      <w:rFonts w:ascii="Arial" w:eastAsia="MS Mincho" w:hAnsi="Arial"/>
      <w:sz w:val="24"/>
      <w:szCs w:val="24"/>
      <w:lang w:eastAsia="en-US"/>
    </w:rPr>
  </w:style>
  <w:style w:type="paragraph" w:styleId="Nadpis1">
    <w:name w:val="heading 1"/>
    <w:basedOn w:val="Normln"/>
    <w:next w:val="Normln"/>
    <w:link w:val="Nadpis1Char"/>
    <w:qFormat/>
    <w:rsid w:val="009C2D9A"/>
    <w:pPr>
      <w:keepNext/>
      <w:keepLines/>
      <w:numPr>
        <w:numId w:val="1"/>
      </w:numPr>
      <w:spacing w:before="480"/>
      <w:jc w:val="center"/>
      <w:outlineLvl w:val="0"/>
    </w:pPr>
    <w:rPr>
      <w:rFonts w:eastAsia="MS Gothic"/>
      <w:b/>
      <w:bCs/>
      <w:sz w:val="32"/>
      <w:szCs w:val="32"/>
      <w:lang w:val="x-none" w:eastAsia="x-none"/>
    </w:rPr>
  </w:style>
  <w:style w:type="paragraph" w:styleId="Nadpis2">
    <w:name w:val="heading 2"/>
    <w:basedOn w:val="Normln"/>
    <w:next w:val="Normln"/>
    <w:link w:val="Nadpis2Char"/>
    <w:qFormat/>
    <w:rsid w:val="000A2121"/>
    <w:pPr>
      <w:keepNext/>
      <w:keepLines/>
      <w:numPr>
        <w:ilvl w:val="1"/>
        <w:numId w:val="1"/>
      </w:numPr>
      <w:tabs>
        <w:tab w:val="left" w:pos="0"/>
      </w:tabs>
      <w:outlineLvl w:val="1"/>
    </w:pPr>
    <w:rPr>
      <w:rFonts w:eastAsia="MS Gothic"/>
      <w:b/>
      <w:bCs/>
      <w:sz w:val="28"/>
      <w:szCs w:val="28"/>
      <w:lang w:val="x-none" w:eastAsia="x-none"/>
    </w:rPr>
  </w:style>
  <w:style w:type="paragraph" w:styleId="Nadpis3">
    <w:name w:val="heading 3"/>
    <w:basedOn w:val="Normln"/>
    <w:next w:val="Normln"/>
    <w:link w:val="Nadpis3Char"/>
    <w:qFormat/>
    <w:rsid w:val="009C2D9A"/>
    <w:pPr>
      <w:keepNext/>
      <w:keepLines/>
      <w:numPr>
        <w:ilvl w:val="2"/>
        <w:numId w:val="1"/>
      </w:numPr>
      <w:spacing w:before="200"/>
      <w:outlineLvl w:val="2"/>
    </w:pPr>
    <w:rPr>
      <w:rFonts w:ascii="Calibri" w:eastAsia="MS Gothic" w:hAnsi="Calibri"/>
      <w:b/>
      <w:bCs/>
      <w:lang w:val="x-none" w:eastAsia="x-none"/>
    </w:rPr>
  </w:style>
  <w:style w:type="paragraph" w:styleId="Nadpis4">
    <w:name w:val="heading 4"/>
    <w:basedOn w:val="Normln"/>
    <w:next w:val="Normln"/>
    <w:link w:val="Nadpis4Char"/>
    <w:qFormat/>
    <w:rsid w:val="009C2D9A"/>
    <w:pPr>
      <w:keepNext/>
      <w:keepLines/>
      <w:numPr>
        <w:ilvl w:val="3"/>
        <w:numId w:val="1"/>
      </w:numPr>
      <w:spacing w:before="200"/>
      <w:outlineLvl w:val="3"/>
    </w:pPr>
    <w:rPr>
      <w:rFonts w:ascii="Calibri" w:eastAsia="MS Gothic" w:hAnsi="Calibri"/>
      <w:b/>
      <w:bCs/>
      <w:i/>
      <w:iCs/>
      <w:color w:val="4F81BD"/>
      <w:lang w:val="x-none" w:eastAsia="x-none"/>
    </w:rPr>
  </w:style>
  <w:style w:type="paragraph" w:styleId="Nadpis5">
    <w:name w:val="heading 5"/>
    <w:basedOn w:val="Normln"/>
    <w:next w:val="Normln"/>
    <w:link w:val="Nadpis5Char"/>
    <w:qFormat/>
    <w:rsid w:val="009C2D9A"/>
    <w:pPr>
      <w:keepNext/>
      <w:keepLines/>
      <w:numPr>
        <w:ilvl w:val="4"/>
        <w:numId w:val="1"/>
      </w:numPr>
      <w:spacing w:before="200"/>
      <w:outlineLvl w:val="4"/>
    </w:pPr>
    <w:rPr>
      <w:rFonts w:ascii="Calibri" w:eastAsia="MS Gothic" w:hAnsi="Calibri"/>
      <w:color w:val="243F60"/>
      <w:lang w:val="x-none" w:eastAsia="x-none"/>
    </w:rPr>
  </w:style>
  <w:style w:type="paragraph" w:styleId="Nadpis6">
    <w:name w:val="heading 6"/>
    <w:basedOn w:val="Normln"/>
    <w:next w:val="Normln"/>
    <w:link w:val="Nadpis6Char"/>
    <w:qFormat/>
    <w:rsid w:val="009C2D9A"/>
    <w:pPr>
      <w:keepNext/>
      <w:keepLines/>
      <w:numPr>
        <w:ilvl w:val="5"/>
        <w:numId w:val="1"/>
      </w:numPr>
      <w:spacing w:before="200"/>
      <w:outlineLvl w:val="5"/>
    </w:pPr>
    <w:rPr>
      <w:rFonts w:ascii="Calibri" w:eastAsia="MS Gothic" w:hAnsi="Calibri"/>
      <w:i/>
      <w:iCs/>
      <w:color w:val="243F60"/>
      <w:lang w:val="x-none" w:eastAsia="x-none"/>
    </w:rPr>
  </w:style>
  <w:style w:type="paragraph" w:styleId="Nadpis7">
    <w:name w:val="heading 7"/>
    <w:basedOn w:val="Normln"/>
    <w:next w:val="Normln"/>
    <w:link w:val="Nadpis7Char"/>
    <w:qFormat/>
    <w:rsid w:val="009C2D9A"/>
    <w:pPr>
      <w:keepNext/>
      <w:keepLines/>
      <w:numPr>
        <w:ilvl w:val="6"/>
        <w:numId w:val="1"/>
      </w:numPr>
      <w:spacing w:before="200"/>
      <w:outlineLvl w:val="6"/>
    </w:pPr>
    <w:rPr>
      <w:rFonts w:ascii="Calibri" w:eastAsia="MS Gothic" w:hAnsi="Calibri"/>
      <w:i/>
      <w:iCs/>
      <w:color w:val="404040"/>
      <w:lang w:val="x-none" w:eastAsia="x-none"/>
    </w:rPr>
  </w:style>
  <w:style w:type="paragraph" w:styleId="Nadpis8">
    <w:name w:val="heading 8"/>
    <w:basedOn w:val="Normln"/>
    <w:next w:val="Normln"/>
    <w:link w:val="Nadpis8Char"/>
    <w:qFormat/>
    <w:rsid w:val="009C2D9A"/>
    <w:pPr>
      <w:keepNext/>
      <w:keepLines/>
      <w:numPr>
        <w:ilvl w:val="7"/>
        <w:numId w:val="1"/>
      </w:numPr>
      <w:spacing w:before="200"/>
      <w:outlineLvl w:val="7"/>
    </w:pPr>
    <w:rPr>
      <w:rFonts w:ascii="Calibri" w:eastAsia="MS Gothic" w:hAnsi="Calibri"/>
      <w:color w:val="404040"/>
      <w:sz w:val="20"/>
      <w:szCs w:val="20"/>
      <w:lang w:val="x-none" w:eastAsia="x-none"/>
    </w:rPr>
  </w:style>
  <w:style w:type="paragraph" w:styleId="Nadpis9">
    <w:name w:val="heading 9"/>
    <w:basedOn w:val="Normln"/>
    <w:next w:val="Normln"/>
    <w:link w:val="Nadpis9Char"/>
    <w:qFormat/>
    <w:rsid w:val="009C2D9A"/>
    <w:pPr>
      <w:keepNext/>
      <w:keepLines/>
      <w:numPr>
        <w:ilvl w:val="8"/>
        <w:numId w:val="1"/>
      </w:numPr>
      <w:spacing w:before="200"/>
      <w:outlineLvl w:val="8"/>
    </w:pPr>
    <w:rPr>
      <w:rFonts w:ascii="Calibri" w:eastAsia="MS Gothic" w:hAnsi="Calibri"/>
      <w:i/>
      <w:iCs/>
      <w:color w:val="404040"/>
      <w:sz w:val="20"/>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arevnseznamzvraznn11">
    <w:name w:val="Barevný seznam – zvýraznění 11"/>
    <w:basedOn w:val="Normln"/>
    <w:autoRedefine/>
    <w:qFormat/>
    <w:rsid w:val="009C2D9A"/>
    <w:pPr>
      <w:numPr>
        <w:numId w:val="2"/>
      </w:numPr>
      <w:tabs>
        <w:tab w:val="left" w:pos="0"/>
        <w:tab w:val="left" w:pos="567"/>
      </w:tabs>
      <w:contextualSpacing/>
    </w:pPr>
  </w:style>
  <w:style w:type="character" w:customStyle="1" w:styleId="Nadpis1Char">
    <w:name w:val="Nadpis 1 Char"/>
    <w:link w:val="Nadpis1"/>
    <w:rsid w:val="009C2D9A"/>
    <w:rPr>
      <w:rFonts w:ascii="Arial" w:eastAsia="MS Gothic" w:hAnsi="Arial"/>
      <w:b/>
      <w:bCs/>
      <w:sz w:val="32"/>
      <w:szCs w:val="32"/>
      <w:lang w:val="x-none" w:eastAsia="x-none"/>
    </w:rPr>
  </w:style>
  <w:style w:type="character" w:customStyle="1" w:styleId="Nadpis2Char">
    <w:name w:val="Nadpis 2 Char"/>
    <w:link w:val="Nadpis2"/>
    <w:rsid w:val="000A2121"/>
    <w:rPr>
      <w:rFonts w:ascii="Arial" w:eastAsia="MS Gothic" w:hAnsi="Arial"/>
      <w:b/>
      <w:bCs/>
      <w:sz w:val="28"/>
      <w:szCs w:val="28"/>
      <w:lang w:val="x-none" w:eastAsia="x-none"/>
    </w:rPr>
  </w:style>
  <w:style w:type="character" w:customStyle="1" w:styleId="Nadpis3Char">
    <w:name w:val="Nadpis 3 Char"/>
    <w:link w:val="Nadpis3"/>
    <w:rsid w:val="009C2D9A"/>
    <w:rPr>
      <w:rFonts w:ascii="Calibri" w:eastAsia="MS Gothic" w:hAnsi="Calibri"/>
      <w:b/>
      <w:bCs/>
      <w:sz w:val="24"/>
      <w:szCs w:val="24"/>
      <w:lang w:val="x-none" w:eastAsia="x-none"/>
    </w:rPr>
  </w:style>
  <w:style w:type="character" w:customStyle="1" w:styleId="Nadpis4Char">
    <w:name w:val="Nadpis 4 Char"/>
    <w:link w:val="Nadpis4"/>
    <w:rsid w:val="009C2D9A"/>
    <w:rPr>
      <w:rFonts w:ascii="Calibri" w:eastAsia="MS Gothic" w:hAnsi="Calibri"/>
      <w:b/>
      <w:bCs/>
      <w:i/>
      <w:iCs/>
      <w:color w:val="4F81BD"/>
      <w:sz w:val="24"/>
      <w:szCs w:val="24"/>
      <w:lang w:val="x-none" w:eastAsia="x-none"/>
    </w:rPr>
  </w:style>
  <w:style w:type="character" w:customStyle="1" w:styleId="Nadpis5Char">
    <w:name w:val="Nadpis 5 Char"/>
    <w:link w:val="Nadpis5"/>
    <w:rsid w:val="009C2D9A"/>
    <w:rPr>
      <w:rFonts w:ascii="Calibri" w:eastAsia="MS Gothic" w:hAnsi="Calibri"/>
      <w:color w:val="243F60"/>
      <w:sz w:val="24"/>
      <w:szCs w:val="24"/>
      <w:lang w:val="x-none" w:eastAsia="x-none"/>
    </w:rPr>
  </w:style>
  <w:style w:type="character" w:customStyle="1" w:styleId="Nadpis6Char">
    <w:name w:val="Nadpis 6 Char"/>
    <w:link w:val="Nadpis6"/>
    <w:rsid w:val="009C2D9A"/>
    <w:rPr>
      <w:rFonts w:ascii="Calibri" w:eastAsia="MS Gothic" w:hAnsi="Calibri"/>
      <w:i/>
      <w:iCs/>
      <w:color w:val="243F60"/>
      <w:sz w:val="24"/>
      <w:szCs w:val="24"/>
      <w:lang w:val="x-none" w:eastAsia="x-none"/>
    </w:rPr>
  </w:style>
  <w:style w:type="character" w:customStyle="1" w:styleId="Nadpis7Char">
    <w:name w:val="Nadpis 7 Char"/>
    <w:link w:val="Nadpis7"/>
    <w:rsid w:val="009C2D9A"/>
    <w:rPr>
      <w:rFonts w:ascii="Calibri" w:eastAsia="MS Gothic" w:hAnsi="Calibri"/>
      <w:i/>
      <w:iCs/>
      <w:color w:val="404040"/>
      <w:sz w:val="24"/>
      <w:szCs w:val="24"/>
      <w:lang w:val="x-none" w:eastAsia="x-none"/>
    </w:rPr>
  </w:style>
  <w:style w:type="character" w:customStyle="1" w:styleId="Nadpis8Char">
    <w:name w:val="Nadpis 8 Char"/>
    <w:link w:val="Nadpis8"/>
    <w:rsid w:val="009C2D9A"/>
    <w:rPr>
      <w:rFonts w:ascii="Calibri" w:eastAsia="MS Gothic" w:hAnsi="Calibri"/>
      <w:color w:val="404040"/>
      <w:lang w:val="x-none" w:eastAsia="x-none"/>
    </w:rPr>
  </w:style>
  <w:style w:type="character" w:customStyle="1" w:styleId="Nadpis9Char">
    <w:name w:val="Nadpis 9 Char"/>
    <w:link w:val="Nadpis9"/>
    <w:rsid w:val="009C2D9A"/>
    <w:rPr>
      <w:rFonts w:ascii="Calibri" w:eastAsia="MS Gothic" w:hAnsi="Calibri"/>
      <w:i/>
      <w:iCs/>
      <w:color w:val="404040"/>
      <w:lang w:val="x-none" w:eastAsia="x-none"/>
    </w:rPr>
  </w:style>
  <w:style w:type="paragraph" w:styleId="Zkladntextodsazen">
    <w:name w:val="Body Text Indent"/>
    <w:basedOn w:val="Normln"/>
    <w:link w:val="ZkladntextodsazenChar"/>
    <w:rsid w:val="009C2D9A"/>
    <w:pPr>
      <w:spacing w:line="240" w:lineRule="auto"/>
      <w:ind w:left="993"/>
      <w:jc w:val="left"/>
    </w:pPr>
    <w:rPr>
      <w:rFonts w:ascii="Courier New" w:eastAsia="Times New Roman" w:hAnsi="Courier New"/>
      <w:sz w:val="20"/>
      <w:szCs w:val="20"/>
      <w:lang w:eastAsia="cs-CZ"/>
    </w:rPr>
  </w:style>
  <w:style w:type="character" w:customStyle="1" w:styleId="ZkladntextodsazenChar">
    <w:name w:val="Základní text odsazený Char"/>
    <w:link w:val="Zkladntextodsazen"/>
    <w:rsid w:val="009C2D9A"/>
    <w:rPr>
      <w:rFonts w:ascii="Courier New" w:hAnsi="Courier New"/>
      <w:lang w:val="cs-CZ" w:eastAsia="cs-CZ" w:bidi="ar-SA"/>
    </w:rPr>
  </w:style>
  <w:style w:type="character" w:styleId="slostrnky">
    <w:name w:val="page number"/>
    <w:rsid w:val="009C2D9A"/>
    <w:rPr>
      <w:rFonts w:ascii="Times New Roman" w:hAnsi="Times New Roman" w:cs="Times New Roman"/>
      <w:sz w:val="24"/>
    </w:rPr>
  </w:style>
  <w:style w:type="character" w:customStyle="1" w:styleId="TrailerWGM">
    <w:name w:val="Trailer WGM"/>
    <w:rsid w:val="009C2D9A"/>
    <w:rPr>
      <w:caps/>
      <w:sz w:val="14"/>
    </w:rPr>
  </w:style>
  <w:style w:type="paragraph" w:styleId="Zhlav">
    <w:name w:val="header"/>
    <w:basedOn w:val="Normln"/>
    <w:link w:val="ZhlavChar"/>
    <w:uiPriority w:val="99"/>
    <w:rsid w:val="009C2D9A"/>
    <w:pPr>
      <w:tabs>
        <w:tab w:val="center" w:pos="4703"/>
        <w:tab w:val="right" w:pos="9406"/>
      </w:tabs>
    </w:pPr>
  </w:style>
  <w:style w:type="paragraph" w:styleId="Zpat">
    <w:name w:val="footer"/>
    <w:basedOn w:val="Normln"/>
    <w:rsid w:val="009C2D9A"/>
    <w:pPr>
      <w:tabs>
        <w:tab w:val="center" w:pos="4703"/>
        <w:tab w:val="right" w:pos="9406"/>
      </w:tabs>
    </w:pPr>
  </w:style>
  <w:style w:type="paragraph" w:styleId="Obsah1">
    <w:name w:val="toc 1"/>
    <w:basedOn w:val="Normln"/>
    <w:next w:val="Normln"/>
    <w:autoRedefine/>
    <w:rsid w:val="00B87740"/>
    <w:pPr>
      <w:spacing w:after="0"/>
      <w:jc w:val="left"/>
    </w:pPr>
    <w:rPr>
      <w:rFonts w:cs="Arial"/>
      <w:noProof/>
    </w:rPr>
  </w:style>
  <w:style w:type="paragraph" w:styleId="Obsah2">
    <w:name w:val="toc 2"/>
    <w:basedOn w:val="Normln"/>
    <w:next w:val="Normln"/>
    <w:autoRedefine/>
    <w:rsid w:val="009C2D9A"/>
    <w:pPr>
      <w:spacing w:before="0" w:after="0"/>
      <w:ind w:left="240"/>
      <w:jc w:val="left"/>
    </w:pPr>
    <w:rPr>
      <w:rFonts w:ascii="Cambria" w:hAnsi="Cambria"/>
      <w:b/>
      <w:sz w:val="22"/>
      <w:szCs w:val="22"/>
    </w:rPr>
  </w:style>
  <w:style w:type="paragraph" w:styleId="Obsah3">
    <w:name w:val="toc 3"/>
    <w:basedOn w:val="Normln"/>
    <w:next w:val="Normln"/>
    <w:autoRedefine/>
    <w:rsid w:val="009C2D9A"/>
    <w:pPr>
      <w:spacing w:before="0" w:after="0"/>
      <w:ind w:left="480"/>
      <w:jc w:val="left"/>
    </w:pPr>
    <w:rPr>
      <w:rFonts w:ascii="Cambria" w:hAnsi="Cambria"/>
      <w:sz w:val="22"/>
      <w:szCs w:val="22"/>
    </w:rPr>
  </w:style>
  <w:style w:type="character" w:styleId="Hypertextovodkaz">
    <w:name w:val="Hyperlink"/>
    <w:rsid w:val="009C2D9A"/>
    <w:rPr>
      <w:color w:val="0000FF"/>
      <w:u w:val="single"/>
    </w:rPr>
  </w:style>
  <w:style w:type="paragraph" w:styleId="Rozloendokumentu">
    <w:name w:val="Document Map"/>
    <w:basedOn w:val="Normln"/>
    <w:semiHidden/>
    <w:rsid w:val="009C2D9A"/>
    <w:pPr>
      <w:shd w:val="clear" w:color="auto" w:fill="000080"/>
    </w:pPr>
    <w:rPr>
      <w:rFonts w:ascii="Tahoma" w:hAnsi="Tahoma" w:cs="Tahoma"/>
      <w:sz w:val="20"/>
      <w:szCs w:val="20"/>
    </w:rPr>
  </w:style>
  <w:style w:type="paragraph" w:styleId="Normlnweb">
    <w:name w:val="Normal (Web)"/>
    <w:basedOn w:val="Normln"/>
    <w:rsid w:val="009C2D9A"/>
    <w:pPr>
      <w:spacing w:before="100" w:beforeAutospacing="1" w:after="100" w:afterAutospacing="1" w:line="240" w:lineRule="auto"/>
      <w:jc w:val="left"/>
    </w:pPr>
    <w:rPr>
      <w:rFonts w:eastAsia="Times New Roman"/>
      <w:lang w:eastAsia="cs-CZ"/>
    </w:rPr>
  </w:style>
  <w:style w:type="character" w:customStyle="1" w:styleId="googqs-tidbitgoogqs-tidbit-0">
    <w:name w:val="goog_qs-tidbit goog_qs-tidbit-0"/>
    <w:basedOn w:val="Standardnpsmoodstavce"/>
    <w:rsid w:val="009C2D9A"/>
  </w:style>
  <w:style w:type="character" w:styleId="Siln">
    <w:name w:val="Strong"/>
    <w:qFormat/>
    <w:rsid w:val="009C2D9A"/>
    <w:rPr>
      <w:rFonts w:ascii="Times New Roman" w:hAnsi="Times New Roman"/>
      <w:b w:val="0"/>
      <w:bCs/>
      <w:i w:val="0"/>
      <w:iCs w:val="0"/>
      <w:caps/>
      <w:smallCaps w:val="0"/>
      <w:sz w:val="32"/>
      <w:szCs w:val="32"/>
    </w:rPr>
  </w:style>
  <w:style w:type="paragraph" w:customStyle="1" w:styleId="noteitalic">
    <w:name w:val="note italic"/>
    <w:basedOn w:val="Normln"/>
    <w:rsid w:val="009C2D9A"/>
    <w:pPr>
      <w:spacing w:before="100" w:beforeAutospacing="1" w:after="100" w:afterAutospacing="1" w:line="240" w:lineRule="auto"/>
      <w:jc w:val="left"/>
    </w:pPr>
    <w:rPr>
      <w:rFonts w:eastAsia="Times New Roman"/>
      <w:lang w:eastAsia="cs-CZ"/>
    </w:rPr>
  </w:style>
  <w:style w:type="paragraph" w:styleId="Obsah4">
    <w:name w:val="toc 4"/>
    <w:basedOn w:val="Normln"/>
    <w:next w:val="Normln"/>
    <w:autoRedefine/>
    <w:unhideWhenUsed/>
    <w:rsid w:val="009C2D9A"/>
    <w:pPr>
      <w:spacing w:before="0" w:after="0"/>
      <w:ind w:left="720"/>
      <w:jc w:val="left"/>
    </w:pPr>
    <w:rPr>
      <w:rFonts w:ascii="Cambria" w:hAnsi="Cambria"/>
      <w:sz w:val="20"/>
      <w:szCs w:val="20"/>
    </w:rPr>
  </w:style>
  <w:style w:type="paragraph" w:styleId="Obsah5">
    <w:name w:val="toc 5"/>
    <w:basedOn w:val="Normln"/>
    <w:next w:val="Normln"/>
    <w:autoRedefine/>
    <w:unhideWhenUsed/>
    <w:rsid w:val="009C2D9A"/>
    <w:pPr>
      <w:spacing w:before="0" w:after="0"/>
      <w:ind w:left="960"/>
      <w:jc w:val="left"/>
    </w:pPr>
    <w:rPr>
      <w:rFonts w:ascii="Cambria" w:hAnsi="Cambria"/>
      <w:sz w:val="20"/>
      <w:szCs w:val="20"/>
    </w:rPr>
  </w:style>
  <w:style w:type="paragraph" w:styleId="Obsah6">
    <w:name w:val="toc 6"/>
    <w:basedOn w:val="Normln"/>
    <w:next w:val="Normln"/>
    <w:autoRedefine/>
    <w:unhideWhenUsed/>
    <w:rsid w:val="009C2D9A"/>
    <w:pPr>
      <w:spacing w:before="0" w:after="0"/>
      <w:ind w:left="1200"/>
      <w:jc w:val="left"/>
    </w:pPr>
    <w:rPr>
      <w:rFonts w:ascii="Cambria" w:hAnsi="Cambria"/>
      <w:sz w:val="20"/>
      <w:szCs w:val="20"/>
    </w:rPr>
  </w:style>
  <w:style w:type="paragraph" w:styleId="Obsah7">
    <w:name w:val="toc 7"/>
    <w:basedOn w:val="Normln"/>
    <w:next w:val="Normln"/>
    <w:autoRedefine/>
    <w:unhideWhenUsed/>
    <w:rsid w:val="009C2D9A"/>
    <w:pPr>
      <w:spacing w:before="0" w:after="0"/>
      <w:ind w:left="1440"/>
      <w:jc w:val="left"/>
    </w:pPr>
    <w:rPr>
      <w:rFonts w:ascii="Cambria" w:hAnsi="Cambria"/>
      <w:sz w:val="20"/>
      <w:szCs w:val="20"/>
    </w:rPr>
  </w:style>
  <w:style w:type="paragraph" w:styleId="Obsah8">
    <w:name w:val="toc 8"/>
    <w:basedOn w:val="Normln"/>
    <w:next w:val="Normln"/>
    <w:autoRedefine/>
    <w:unhideWhenUsed/>
    <w:rsid w:val="009C2D9A"/>
    <w:pPr>
      <w:spacing w:before="0" w:after="0"/>
      <w:ind w:left="1680"/>
      <w:jc w:val="left"/>
    </w:pPr>
    <w:rPr>
      <w:rFonts w:ascii="Cambria" w:hAnsi="Cambria"/>
      <w:sz w:val="20"/>
      <w:szCs w:val="20"/>
    </w:rPr>
  </w:style>
  <w:style w:type="paragraph" w:styleId="Obsah9">
    <w:name w:val="toc 9"/>
    <w:basedOn w:val="Normln"/>
    <w:next w:val="Normln"/>
    <w:autoRedefine/>
    <w:unhideWhenUsed/>
    <w:rsid w:val="009C2D9A"/>
    <w:pPr>
      <w:spacing w:before="0" w:after="0"/>
      <w:ind w:left="1920"/>
      <w:jc w:val="left"/>
    </w:pPr>
    <w:rPr>
      <w:rFonts w:ascii="Cambria" w:hAnsi="Cambria"/>
      <w:sz w:val="20"/>
      <w:szCs w:val="20"/>
    </w:rPr>
  </w:style>
  <w:style w:type="paragraph" w:styleId="Textpoznpodarou">
    <w:name w:val="footnote text"/>
    <w:basedOn w:val="Normln"/>
    <w:link w:val="TextpoznpodarouChar"/>
    <w:unhideWhenUsed/>
    <w:rsid w:val="009C2D9A"/>
    <w:rPr>
      <w:sz w:val="16"/>
      <w:lang w:eastAsia="x-none"/>
    </w:rPr>
  </w:style>
  <w:style w:type="character" w:customStyle="1" w:styleId="TextpoznpodarouChar">
    <w:name w:val="Text pozn. pod čarou Char"/>
    <w:link w:val="Textpoznpodarou"/>
    <w:rsid w:val="009C2D9A"/>
    <w:rPr>
      <w:rFonts w:ascii="Arial" w:eastAsia="MS Mincho" w:hAnsi="Arial"/>
      <w:sz w:val="16"/>
      <w:szCs w:val="24"/>
      <w:lang w:val="cs-CZ" w:eastAsia="x-none" w:bidi="ar-SA"/>
    </w:rPr>
  </w:style>
  <w:style w:type="character" w:styleId="Znakapoznpodarou">
    <w:name w:val="footnote reference"/>
    <w:uiPriority w:val="99"/>
    <w:unhideWhenUsed/>
    <w:rsid w:val="009C2D9A"/>
    <w:rPr>
      <w:vertAlign w:val="superscript"/>
    </w:rPr>
  </w:style>
  <w:style w:type="paragraph" w:styleId="Titulek">
    <w:name w:val="caption"/>
    <w:basedOn w:val="Normln"/>
    <w:next w:val="Normln"/>
    <w:qFormat/>
    <w:rsid w:val="009C2D9A"/>
    <w:pPr>
      <w:jc w:val="center"/>
    </w:pPr>
    <w:rPr>
      <w:rFonts w:ascii="Times New Roman Bold" w:hAnsi="Times New Roman Bold"/>
      <w:b/>
      <w:bCs/>
      <w:caps/>
      <w:sz w:val="32"/>
      <w:szCs w:val="32"/>
    </w:rPr>
  </w:style>
  <w:style w:type="paragraph" w:customStyle="1" w:styleId="Nadpisobsahu1">
    <w:name w:val="Nadpis obsahu1"/>
    <w:basedOn w:val="Nadpis1"/>
    <w:next w:val="Normln"/>
    <w:qFormat/>
    <w:rsid w:val="009C2D9A"/>
    <w:pPr>
      <w:numPr>
        <w:numId w:val="0"/>
      </w:numPr>
      <w:spacing w:line="276" w:lineRule="auto"/>
      <w:jc w:val="left"/>
      <w:outlineLvl w:val="9"/>
    </w:pPr>
    <w:rPr>
      <w:sz w:val="24"/>
      <w:szCs w:val="20"/>
      <w:u w:val="single"/>
      <w:lang w:val="en-US"/>
    </w:rPr>
  </w:style>
  <w:style w:type="paragraph" w:styleId="Nzev">
    <w:name w:val="Title"/>
    <w:basedOn w:val="Normln"/>
    <w:next w:val="Normln"/>
    <w:link w:val="NzevChar"/>
    <w:qFormat/>
    <w:rsid w:val="009C2D9A"/>
    <w:pPr>
      <w:spacing w:before="240" w:after="60"/>
      <w:jc w:val="center"/>
      <w:outlineLvl w:val="0"/>
    </w:pPr>
    <w:rPr>
      <w:rFonts w:ascii="Calibri" w:eastAsia="MS Gothic" w:hAnsi="Calibri"/>
      <w:b/>
      <w:bCs/>
      <w:kern w:val="28"/>
      <w:sz w:val="32"/>
      <w:szCs w:val="32"/>
      <w:lang w:eastAsia="x-none"/>
    </w:rPr>
  </w:style>
  <w:style w:type="character" w:customStyle="1" w:styleId="NzevChar">
    <w:name w:val="Název Char"/>
    <w:link w:val="Nzev"/>
    <w:rsid w:val="009C2D9A"/>
    <w:rPr>
      <w:rFonts w:ascii="Calibri" w:eastAsia="MS Gothic" w:hAnsi="Calibri"/>
      <w:b/>
      <w:bCs/>
      <w:kern w:val="28"/>
      <w:sz w:val="32"/>
      <w:szCs w:val="32"/>
      <w:lang w:val="cs-CZ" w:eastAsia="x-none" w:bidi="ar-SA"/>
    </w:rPr>
  </w:style>
  <w:style w:type="character" w:styleId="slodku">
    <w:name w:val="line number"/>
    <w:semiHidden/>
    <w:unhideWhenUsed/>
    <w:rsid w:val="009C2D9A"/>
  </w:style>
  <w:style w:type="character" w:customStyle="1" w:styleId="quote22">
    <w:name w:val="quote22"/>
    <w:rsid w:val="009C2D9A"/>
  </w:style>
  <w:style w:type="paragraph" w:customStyle="1" w:styleId="null">
    <w:name w:val="null"/>
    <w:basedOn w:val="Normln"/>
    <w:rsid w:val="009C2D9A"/>
    <w:pPr>
      <w:spacing w:before="100" w:beforeAutospacing="1" w:after="100" w:afterAutospacing="1" w:line="240" w:lineRule="auto"/>
      <w:jc w:val="left"/>
    </w:pPr>
    <w:rPr>
      <w:rFonts w:eastAsia="Times New Roman"/>
      <w:lang w:eastAsia="cs-CZ"/>
    </w:rPr>
  </w:style>
  <w:style w:type="character" w:styleId="Zvraznn">
    <w:name w:val="Emphasis"/>
    <w:qFormat/>
    <w:rsid w:val="009C2D9A"/>
    <w:rPr>
      <w:i/>
      <w:iCs/>
    </w:rPr>
  </w:style>
  <w:style w:type="table" w:styleId="Mkatabulky">
    <w:name w:val="Table Grid"/>
    <w:basedOn w:val="Normlntabulka"/>
    <w:uiPriority w:val="59"/>
    <w:rsid w:val="009C2D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dpis1"/>
    <w:next w:val="Normln"/>
    <w:qFormat/>
    <w:rsid w:val="009C2D9A"/>
    <w:pPr>
      <w:numPr>
        <w:numId w:val="0"/>
      </w:numPr>
    </w:pPr>
  </w:style>
  <w:style w:type="paragraph" w:customStyle="1" w:styleId="odrkyodsazen2">
    <w:name w:val="odrážky_odsazené2"/>
    <w:basedOn w:val="Normln"/>
    <w:rsid w:val="009C2D9A"/>
    <w:pPr>
      <w:numPr>
        <w:numId w:val="4"/>
      </w:numPr>
    </w:pPr>
    <w:rPr>
      <w:rFonts w:eastAsia="Times New Roman"/>
      <w:szCs w:val="20"/>
    </w:rPr>
  </w:style>
  <w:style w:type="paragraph" w:customStyle="1" w:styleId="StylNadpis1Tmaverven">
    <w:name w:val="Styl Nadpis 1 + Tmavě červená"/>
    <w:basedOn w:val="Nadpis1"/>
    <w:rsid w:val="009C2D9A"/>
    <w:pPr>
      <w:keepLines w:val="0"/>
      <w:numPr>
        <w:numId w:val="0"/>
      </w:numPr>
      <w:tabs>
        <w:tab w:val="num" w:pos="567"/>
      </w:tabs>
      <w:spacing w:after="360" w:line="240" w:lineRule="auto"/>
      <w:ind w:left="567" w:hanging="567"/>
      <w:jc w:val="both"/>
    </w:pPr>
    <w:rPr>
      <w:rFonts w:eastAsia="Times New Roman"/>
      <w:color w:val="800000"/>
      <w:kern w:val="28"/>
      <w:sz w:val="28"/>
      <w:szCs w:val="28"/>
      <w:lang w:eastAsia="cs-CZ"/>
    </w:rPr>
  </w:style>
  <w:style w:type="paragraph" w:customStyle="1" w:styleId="Styl2">
    <w:name w:val="Styl2"/>
    <w:basedOn w:val="Normln"/>
    <w:rsid w:val="009C2D9A"/>
    <w:pPr>
      <w:keepNext/>
      <w:numPr>
        <w:ilvl w:val="1"/>
        <w:numId w:val="3"/>
      </w:numPr>
      <w:spacing w:before="480"/>
      <w:outlineLvl w:val="1"/>
    </w:pPr>
    <w:rPr>
      <w:rFonts w:eastAsia="Times New Roman" w:cs="Arial"/>
      <w:b/>
      <w:bCs/>
      <w:color w:val="008000"/>
      <w:lang w:eastAsia="cs-CZ"/>
    </w:rPr>
  </w:style>
  <w:style w:type="paragraph" w:customStyle="1" w:styleId="StylStylNadpis212bArialZelen">
    <w:name w:val="Styl Styl Nadpis 2 + 12 b. + Arial Zelená"/>
    <w:basedOn w:val="Normln"/>
    <w:rsid w:val="009C2D9A"/>
    <w:pPr>
      <w:keepNext/>
      <w:tabs>
        <w:tab w:val="num" w:pos="0"/>
      </w:tabs>
      <w:spacing w:before="480"/>
      <w:outlineLvl w:val="1"/>
    </w:pPr>
    <w:rPr>
      <w:rFonts w:eastAsia="Times New Roman"/>
      <w:b/>
      <w:bCs/>
      <w:color w:val="008000"/>
      <w:lang w:eastAsia="cs-CZ"/>
    </w:rPr>
  </w:style>
  <w:style w:type="paragraph" w:customStyle="1" w:styleId="Odstavecseseznamem1">
    <w:name w:val="Odstavec se seznamem1"/>
    <w:basedOn w:val="Normln"/>
    <w:qFormat/>
    <w:rsid w:val="009C2D9A"/>
    <w:pPr>
      <w:spacing w:after="200" w:line="276" w:lineRule="auto"/>
      <w:ind w:left="720"/>
      <w:contextualSpacing/>
      <w:jc w:val="left"/>
    </w:pPr>
    <w:rPr>
      <w:rFonts w:ascii="Calibri" w:eastAsia="Calibri" w:hAnsi="Calibri"/>
      <w:sz w:val="22"/>
      <w:szCs w:val="22"/>
    </w:rPr>
  </w:style>
  <w:style w:type="character" w:customStyle="1" w:styleId="Zdraznnjemn1">
    <w:name w:val="Zdůraznění – jemné1"/>
    <w:qFormat/>
    <w:rsid w:val="009C2D9A"/>
    <w:rPr>
      <w:i/>
      <w:iCs/>
      <w:color w:val="808080"/>
    </w:rPr>
  </w:style>
  <w:style w:type="character" w:customStyle="1" w:styleId="Zdraznnintenzivn1">
    <w:name w:val="Zdůraznění – intenzivní1"/>
    <w:qFormat/>
    <w:rsid w:val="009C2D9A"/>
    <w:rPr>
      <w:b/>
      <w:bCs/>
      <w:i/>
      <w:iCs/>
      <w:color w:val="4F81BD"/>
    </w:rPr>
  </w:style>
  <w:style w:type="paragraph" w:customStyle="1" w:styleId="Barevnmkazvraznn11">
    <w:name w:val="Barevná mřížka – zvýraznění 11"/>
    <w:basedOn w:val="Normln"/>
    <w:next w:val="Normln"/>
    <w:link w:val="Barevnmkazvraznn1Char"/>
    <w:qFormat/>
    <w:rsid w:val="009C2D9A"/>
    <w:rPr>
      <w:i/>
      <w:iCs/>
      <w:color w:val="000000"/>
      <w:lang w:eastAsia="x-none"/>
    </w:rPr>
  </w:style>
  <w:style w:type="character" w:customStyle="1" w:styleId="Barevnmkazvraznn1Char">
    <w:name w:val="Barevná mřížka – zvýraznění 1 Char"/>
    <w:link w:val="Barevnmkazvraznn11"/>
    <w:rsid w:val="009C2D9A"/>
    <w:rPr>
      <w:rFonts w:ascii="Arial" w:eastAsia="MS Mincho" w:hAnsi="Arial"/>
      <w:i/>
      <w:iCs/>
      <w:color w:val="000000"/>
      <w:sz w:val="24"/>
      <w:szCs w:val="24"/>
      <w:lang w:val="cs-CZ" w:eastAsia="x-none" w:bidi="ar-SA"/>
    </w:rPr>
  </w:style>
  <w:style w:type="character" w:customStyle="1" w:styleId="Odkazintenzivn1">
    <w:name w:val="Odkaz – intenzivní1"/>
    <w:qFormat/>
    <w:rsid w:val="009C2D9A"/>
    <w:rPr>
      <w:b/>
      <w:bCs/>
      <w:smallCaps/>
      <w:color w:val="C0504D"/>
      <w:spacing w:val="5"/>
      <w:u w:val="single"/>
    </w:rPr>
  </w:style>
  <w:style w:type="paragraph" w:styleId="Podtitul">
    <w:name w:val="Subtitle"/>
    <w:basedOn w:val="Normln"/>
    <w:next w:val="Normln"/>
    <w:link w:val="PodtitulChar"/>
    <w:qFormat/>
    <w:rsid w:val="009C2D9A"/>
    <w:pPr>
      <w:spacing w:after="60"/>
      <w:jc w:val="center"/>
      <w:outlineLvl w:val="1"/>
    </w:pPr>
    <w:rPr>
      <w:rFonts w:ascii="Calibri" w:eastAsia="MS Gothic" w:hAnsi="Calibri"/>
      <w:lang w:eastAsia="x-none"/>
    </w:rPr>
  </w:style>
  <w:style w:type="character" w:customStyle="1" w:styleId="PodtitulChar">
    <w:name w:val="Podtitul Char"/>
    <w:link w:val="Podtitul"/>
    <w:rsid w:val="009C2D9A"/>
    <w:rPr>
      <w:rFonts w:ascii="Calibri" w:eastAsia="MS Gothic" w:hAnsi="Calibri"/>
      <w:sz w:val="24"/>
      <w:szCs w:val="24"/>
      <w:lang w:val="cs-CZ" w:eastAsia="x-none" w:bidi="ar-SA"/>
    </w:rPr>
  </w:style>
  <w:style w:type="character" w:customStyle="1" w:styleId="Odkazjemn1">
    <w:name w:val="Odkaz – jemný1"/>
    <w:qFormat/>
    <w:rsid w:val="009C2D9A"/>
    <w:rPr>
      <w:smallCaps/>
      <w:color w:val="C0504D"/>
      <w:u w:val="single"/>
    </w:rPr>
  </w:style>
  <w:style w:type="table" w:customStyle="1" w:styleId="Svtlstnovn1">
    <w:name w:val="Světlé stínování1"/>
    <w:basedOn w:val="Normlntabulka"/>
    <w:rsid w:val="009C2D9A"/>
    <w:rPr>
      <w:rFonts w:ascii="Cambria" w:eastAsia="MS Mincho" w:hAnsi="Cambri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Odkaznakoment">
    <w:name w:val="annotation reference"/>
    <w:semiHidden/>
    <w:unhideWhenUsed/>
    <w:rsid w:val="009C2D9A"/>
    <w:rPr>
      <w:sz w:val="16"/>
      <w:szCs w:val="16"/>
    </w:rPr>
  </w:style>
  <w:style w:type="paragraph" w:styleId="Textkomente">
    <w:name w:val="annotation text"/>
    <w:basedOn w:val="Normln"/>
    <w:link w:val="TextkomenteChar"/>
    <w:semiHidden/>
    <w:unhideWhenUsed/>
    <w:rsid w:val="009C2D9A"/>
    <w:rPr>
      <w:sz w:val="20"/>
      <w:szCs w:val="20"/>
    </w:rPr>
  </w:style>
  <w:style w:type="character" w:customStyle="1" w:styleId="TextkomenteChar">
    <w:name w:val="Text komentáře Char"/>
    <w:link w:val="Textkomente"/>
    <w:semiHidden/>
    <w:rsid w:val="009C2D9A"/>
    <w:rPr>
      <w:rFonts w:ascii="Arial" w:eastAsia="MS Mincho" w:hAnsi="Arial"/>
      <w:lang w:val="cs-CZ" w:eastAsia="en-US" w:bidi="ar-SA"/>
    </w:rPr>
  </w:style>
  <w:style w:type="paragraph" w:styleId="Pedmtkomente">
    <w:name w:val="annotation subject"/>
    <w:basedOn w:val="Textkomente"/>
    <w:next w:val="Textkomente"/>
    <w:link w:val="PedmtkomenteChar"/>
    <w:semiHidden/>
    <w:unhideWhenUsed/>
    <w:rsid w:val="009C2D9A"/>
    <w:rPr>
      <w:b/>
      <w:bCs/>
    </w:rPr>
  </w:style>
  <w:style w:type="character" w:customStyle="1" w:styleId="PedmtkomenteChar">
    <w:name w:val="Předmět komentáře Char"/>
    <w:link w:val="Pedmtkomente"/>
    <w:semiHidden/>
    <w:rsid w:val="009C2D9A"/>
    <w:rPr>
      <w:rFonts w:ascii="Arial" w:eastAsia="MS Mincho" w:hAnsi="Arial"/>
      <w:b/>
      <w:bCs/>
      <w:lang w:val="cs-CZ" w:eastAsia="en-US" w:bidi="ar-SA"/>
    </w:rPr>
  </w:style>
  <w:style w:type="paragraph" w:styleId="Textbubliny">
    <w:name w:val="Balloon Text"/>
    <w:basedOn w:val="Normln"/>
    <w:link w:val="TextbublinyChar"/>
    <w:semiHidden/>
    <w:unhideWhenUsed/>
    <w:rsid w:val="009C2D9A"/>
    <w:pPr>
      <w:spacing w:before="0" w:after="0" w:line="240" w:lineRule="auto"/>
    </w:pPr>
    <w:rPr>
      <w:rFonts w:ascii="Tahoma" w:hAnsi="Tahoma" w:cs="Tahoma"/>
      <w:sz w:val="16"/>
      <w:szCs w:val="16"/>
    </w:rPr>
  </w:style>
  <w:style w:type="character" w:customStyle="1" w:styleId="TextbublinyChar">
    <w:name w:val="Text bubliny Char"/>
    <w:link w:val="Textbubliny"/>
    <w:semiHidden/>
    <w:rsid w:val="009C2D9A"/>
    <w:rPr>
      <w:rFonts w:ascii="Tahoma" w:eastAsia="MS Mincho" w:hAnsi="Tahoma" w:cs="Tahoma"/>
      <w:sz w:val="16"/>
      <w:szCs w:val="16"/>
      <w:lang w:val="cs-CZ" w:eastAsia="en-US" w:bidi="ar-SA"/>
    </w:rPr>
  </w:style>
  <w:style w:type="paragraph" w:styleId="Odstavecseseznamem">
    <w:name w:val="List Paragraph"/>
    <w:basedOn w:val="Normln"/>
    <w:uiPriority w:val="34"/>
    <w:qFormat/>
    <w:rsid w:val="009C2D9A"/>
    <w:pPr>
      <w:spacing w:before="0" w:after="200" w:line="276" w:lineRule="auto"/>
      <w:ind w:left="720"/>
      <w:contextualSpacing/>
      <w:jc w:val="left"/>
    </w:pPr>
    <w:rPr>
      <w:rFonts w:ascii="Calibri" w:eastAsia="Calibri" w:hAnsi="Calibri"/>
      <w:sz w:val="22"/>
      <w:szCs w:val="22"/>
    </w:rPr>
  </w:style>
  <w:style w:type="paragraph" w:customStyle="1" w:styleId="Revize1">
    <w:name w:val="Revize1"/>
    <w:hidden/>
    <w:semiHidden/>
    <w:rsid w:val="009C2D9A"/>
    <w:rPr>
      <w:rFonts w:ascii="Arial" w:eastAsia="MS Mincho" w:hAnsi="Arial"/>
      <w:sz w:val="24"/>
      <w:szCs w:val="24"/>
      <w:lang w:eastAsia="en-US"/>
    </w:rPr>
  </w:style>
  <w:style w:type="paragraph" w:styleId="Revize">
    <w:name w:val="Revision"/>
    <w:hidden/>
    <w:uiPriority w:val="99"/>
    <w:semiHidden/>
    <w:rsid w:val="00DE6CF0"/>
    <w:rPr>
      <w:rFonts w:ascii="Arial" w:eastAsia="MS Mincho" w:hAnsi="Arial"/>
      <w:sz w:val="24"/>
      <w:szCs w:val="24"/>
      <w:lang w:eastAsia="en-US"/>
    </w:rPr>
  </w:style>
  <w:style w:type="paragraph" w:styleId="Textvysvtlivek">
    <w:name w:val="endnote text"/>
    <w:basedOn w:val="Normln"/>
    <w:link w:val="TextvysvtlivekChar"/>
    <w:uiPriority w:val="99"/>
    <w:semiHidden/>
    <w:unhideWhenUsed/>
    <w:rsid w:val="0073531E"/>
    <w:rPr>
      <w:sz w:val="20"/>
      <w:szCs w:val="20"/>
    </w:rPr>
  </w:style>
  <w:style w:type="character" w:customStyle="1" w:styleId="TextvysvtlivekChar">
    <w:name w:val="Text vysvětlivek Char"/>
    <w:link w:val="Textvysvtlivek"/>
    <w:uiPriority w:val="99"/>
    <w:semiHidden/>
    <w:rsid w:val="0073531E"/>
    <w:rPr>
      <w:rFonts w:ascii="Arial" w:eastAsia="MS Mincho" w:hAnsi="Arial"/>
      <w:lang w:eastAsia="en-US"/>
    </w:rPr>
  </w:style>
  <w:style w:type="character" w:styleId="Odkaznavysvtlivky">
    <w:name w:val="endnote reference"/>
    <w:uiPriority w:val="99"/>
    <w:semiHidden/>
    <w:unhideWhenUsed/>
    <w:rsid w:val="0073531E"/>
    <w:rPr>
      <w:vertAlign w:val="superscript"/>
    </w:rPr>
  </w:style>
  <w:style w:type="paragraph" w:styleId="Bezmezer">
    <w:name w:val="No Spacing"/>
    <w:link w:val="BezmezerChar"/>
    <w:uiPriority w:val="1"/>
    <w:qFormat/>
    <w:rsid w:val="00AA14D9"/>
    <w:rPr>
      <w:rFonts w:ascii="Calibri" w:hAnsi="Calibri"/>
      <w:sz w:val="22"/>
      <w:szCs w:val="22"/>
    </w:rPr>
  </w:style>
  <w:style w:type="character" w:customStyle="1" w:styleId="BezmezerChar">
    <w:name w:val="Bez mezer Char"/>
    <w:link w:val="Bezmezer"/>
    <w:uiPriority w:val="1"/>
    <w:rsid w:val="00AA14D9"/>
    <w:rPr>
      <w:rFonts w:ascii="Calibri" w:hAnsi="Calibri"/>
      <w:sz w:val="22"/>
      <w:szCs w:val="22"/>
    </w:rPr>
  </w:style>
  <w:style w:type="paragraph" w:customStyle="1" w:styleId="Default">
    <w:name w:val="Default"/>
    <w:rsid w:val="00AC6E55"/>
    <w:pPr>
      <w:autoSpaceDE w:val="0"/>
      <w:autoSpaceDN w:val="0"/>
      <w:adjustRightInd w:val="0"/>
    </w:pPr>
    <w:rPr>
      <w:color w:val="000000"/>
      <w:sz w:val="24"/>
      <w:szCs w:val="24"/>
    </w:rPr>
  </w:style>
  <w:style w:type="character" w:customStyle="1" w:styleId="ZhlavChar">
    <w:name w:val="Záhlaví Char"/>
    <w:link w:val="Zhlav"/>
    <w:uiPriority w:val="99"/>
    <w:rsid w:val="00233137"/>
    <w:rPr>
      <w:rFonts w:ascii="Arial" w:eastAsia="MS Mincho"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898D-635A-4F90-B993-DE548125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5194</Words>
  <Characters>30648</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VLÁDA ČESKÉ REPUBLIKY</vt:lpstr>
    </vt:vector>
  </TitlesOfParts>
  <Company>Microsoft</Company>
  <LinksUpToDate>false</LinksUpToDate>
  <CharactersWithSpaces>35771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VLÁDA ČESKÉ REPUBLIKY</dc:title>
  <dc:creator>Svobodová Iveta JUDr.</dc:creator>
  <cp:lastModifiedBy>Králík Aleš Mgr. Bc. LL.M.</cp:lastModifiedBy>
  <cp:revision>7</cp:revision>
  <cp:lastPrinted>2016-02-08T10:44:00Z</cp:lastPrinted>
  <dcterms:created xsi:type="dcterms:W3CDTF">2018-04-04T16:33:00Z</dcterms:created>
  <dcterms:modified xsi:type="dcterms:W3CDTF">2018-05-02T17:43:00Z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